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5"/>
        <w:tblW w:w="9072" w:type="dxa"/>
        <w:tblBorders>
          <w:bottom w:val="single" w:sz="24" w:space="0" w:color="000000"/>
          <w:insideH w:val="single" w:sz="4" w:space="0" w:color="000000"/>
        </w:tblBorders>
        <w:tblLayout w:type="fixed"/>
        <w:tblLook w:val="0000" w:firstRow="0" w:lastRow="0" w:firstColumn="0" w:lastColumn="0" w:noHBand="0" w:noVBand="0"/>
      </w:tblPr>
      <w:tblGrid>
        <w:gridCol w:w="5670"/>
        <w:gridCol w:w="3402"/>
      </w:tblGrid>
      <w:tr w:rsidR="00460557" w:rsidTr="002C2016">
        <w:trPr>
          <w:trHeight w:val="838"/>
        </w:trPr>
        <w:tc>
          <w:tcPr>
            <w:tcW w:w="5670" w:type="dxa"/>
          </w:tcPr>
          <w:p w:rsidR="00C9351E" w:rsidRPr="002C2016" w:rsidRDefault="00CB6AA0" w:rsidP="00C9351E">
            <w:pPr>
              <w:tabs>
                <w:tab w:val="left" w:pos="1420"/>
              </w:tabs>
              <w:spacing w:line="276" w:lineRule="auto"/>
              <w:ind w:left="-120"/>
              <w:rPr>
                <w:rFonts w:ascii="Geometr415 Blk BT" w:eastAsia="Geo" w:hAnsi="Geometr415 Blk BT" w:cs="Geo"/>
                <w:b/>
                <w:color w:val="000000"/>
                <w:sz w:val="26"/>
                <w:szCs w:val="26"/>
              </w:rPr>
            </w:pPr>
            <w:r w:rsidRPr="002C2016">
              <w:rPr>
                <w:rFonts w:ascii="Geometr415 Blk BT" w:eastAsia="Geo" w:hAnsi="Geometr415 Blk BT" w:cs="Geo"/>
                <w:color w:val="000000"/>
                <w:sz w:val="26"/>
                <w:szCs w:val="26"/>
              </w:rPr>
              <w:t>Journal of Economics and Management</w:t>
            </w:r>
          </w:p>
          <w:p w:rsidR="00C9351E" w:rsidRPr="00B01655" w:rsidRDefault="00CB6AA0" w:rsidP="00C9351E">
            <w:pPr>
              <w:tabs>
                <w:tab w:val="left" w:pos="1420"/>
              </w:tabs>
              <w:spacing w:line="276" w:lineRule="auto"/>
              <w:ind w:left="-120"/>
              <w:rPr>
                <w:rFonts w:ascii="Cambria" w:eastAsia="Cambria" w:hAnsi="Cambria" w:cs="Cambria"/>
                <w:color w:val="000000"/>
                <w:sz w:val="20"/>
                <w:szCs w:val="20"/>
              </w:rPr>
            </w:pPr>
            <w:r w:rsidRPr="00B01655">
              <w:rPr>
                <w:rFonts w:ascii="Cambria" w:eastAsia="Cambria" w:hAnsi="Cambria" w:cs="Cambria"/>
                <w:color w:val="000000"/>
                <w:sz w:val="20"/>
                <w:szCs w:val="20"/>
              </w:rPr>
              <w:t>202</w:t>
            </w:r>
            <w:r>
              <w:rPr>
                <w:rFonts w:ascii="Cambria" w:eastAsia="Cambria" w:hAnsi="Cambria" w:cs="Cambria"/>
                <w:color w:val="000000"/>
                <w:sz w:val="20"/>
                <w:szCs w:val="20"/>
              </w:rPr>
              <w:t>6</w:t>
            </w:r>
            <w:r w:rsidRPr="00B01655">
              <w:rPr>
                <w:rFonts w:ascii="Cambria" w:eastAsia="Cambria" w:hAnsi="Cambria" w:cs="Cambria"/>
                <w:color w:val="000000"/>
                <w:sz w:val="20"/>
                <w:szCs w:val="20"/>
              </w:rPr>
              <w:t xml:space="preserve">, Vol. </w:t>
            </w:r>
            <w:r>
              <w:rPr>
                <w:rFonts w:ascii="Cambria" w:eastAsia="Cambria" w:hAnsi="Cambria" w:cs="Cambria"/>
                <w:color w:val="000000"/>
                <w:sz w:val="20"/>
                <w:szCs w:val="20"/>
              </w:rPr>
              <w:t>4</w:t>
            </w:r>
            <w:r w:rsidRPr="00B01655">
              <w:rPr>
                <w:rFonts w:ascii="Cambria" w:eastAsia="Cambria" w:hAnsi="Cambria" w:cs="Cambria"/>
                <w:color w:val="000000"/>
                <w:sz w:val="20"/>
                <w:szCs w:val="20"/>
              </w:rPr>
              <w:t xml:space="preserve">, No. </w:t>
            </w:r>
            <w:r w:rsidR="005A7613">
              <w:rPr>
                <w:rFonts w:ascii="Cambria" w:eastAsia="Cambria" w:hAnsi="Cambria" w:cs="Cambria"/>
                <w:color w:val="000000"/>
                <w:sz w:val="20"/>
                <w:szCs w:val="20"/>
              </w:rPr>
              <w:t>2</w:t>
            </w:r>
            <w:r w:rsidRPr="00B01655">
              <w:rPr>
                <w:rFonts w:ascii="Cambria" w:eastAsia="Cambria" w:hAnsi="Cambria" w:cs="Cambria"/>
                <w:color w:val="000000"/>
                <w:sz w:val="20"/>
                <w:szCs w:val="20"/>
              </w:rPr>
              <w:t xml:space="preserve">, </w:t>
            </w:r>
            <w:r w:rsidR="000F64A5">
              <w:rPr>
                <w:rFonts w:ascii="Cambria" w:eastAsia="Cambria" w:hAnsi="Cambria" w:cs="Cambria"/>
                <w:color w:val="000000"/>
                <w:sz w:val="20"/>
                <w:szCs w:val="20"/>
              </w:rPr>
              <w:t>383-402</w:t>
            </w:r>
          </w:p>
          <w:p w:rsidR="00C9351E" w:rsidRPr="00CB6AA0" w:rsidRDefault="006B2C60" w:rsidP="00C9351E">
            <w:pPr>
              <w:tabs>
                <w:tab w:val="left" w:pos="1420"/>
              </w:tabs>
              <w:spacing w:line="276" w:lineRule="auto"/>
              <w:ind w:left="-120"/>
              <w:rPr>
                <w:rFonts w:ascii="Cambria" w:eastAsia="Cambria" w:hAnsi="Cambria" w:cs="Cambria"/>
                <w:color w:val="CC0066"/>
                <w:sz w:val="20"/>
                <w:szCs w:val="20"/>
                <w:lang w:val="en-US"/>
              </w:rPr>
            </w:pPr>
            <w:hyperlink r:id="rId9" w:history="1">
              <w:r w:rsidR="00CB6AA0" w:rsidRPr="00CB6AA0">
                <w:rPr>
                  <w:rStyle w:val="Hyperlink"/>
                  <w:rFonts w:ascii="Cambria" w:eastAsia="Cambria" w:hAnsi="Cambria" w:cs="Cambria"/>
                  <w:color w:val="CC0066"/>
                  <w:sz w:val="20"/>
                  <w:szCs w:val="20"/>
                  <w:u w:val="none"/>
                </w:rPr>
                <w:t>https://doi.org/10.70716/ecoma.v4i2.515</w:t>
              </w:r>
            </w:hyperlink>
            <w:r w:rsidR="00CB6AA0" w:rsidRPr="00CB6AA0">
              <w:rPr>
                <w:rFonts w:ascii="Cambria" w:eastAsia="Cambria" w:hAnsi="Cambria" w:cs="Cambria"/>
                <w:sz w:val="20"/>
                <w:szCs w:val="20"/>
                <w:lang w:val="en-US"/>
              </w:rPr>
              <w:t xml:space="preserve"> </w:t>
            </w:r>
          </w:p>
          <w:p w:rsidR="007E2572" w:rsidRDefault="007E2572">
            <w:pPr>
              <w:tabs>
                <w:tab w:val="left" w:pos="1420"/>
              </w:tabs>
              <w:spacing w:line="276" w:lineRule="auto"/>
              <w:ind w:left="-120"/>
              <w:rPr>
                <w:rFonts w:ascii="Cambria" w:eastAsia="Cambria" w:hAnsi="Cambria" w:cs="Cambria"/>
                <w:color w:val="0080FF"/>
                <w:sz w:val="18"/>
                <w:szCs w:val="18"/>
              </w:rPr>
            </w:pPr>
          </w:p>
        </w:tc>
        <w:tc>
          <w:tcPr>
            <w:tcW w:w="3402" w:type="dxa"/>
          </w:tcPr>
          <w:p w:rsidR="007E2572" w:rsidRDefault="00CB6AA0">
            <w:pPr>
              <w:tabs>
                <w:tab w:val="center" w:pos="4680"/>
                <w:tab w:val="right" w:pos="9360"/>
              </w:tabs>
              <w:spacing w:after="80"/>
              <w:ind w:right="-88"/>
              <w:jc w:val="right"/>
              <w:rPr>
                <w:rFonts w:ascii="Cambria" w:eastAsia="Cambria" w:hAnsi="Cambria" w:cs="Cambria"/>
                <w:b/>
                <w:color w:val="000000"/>
              </w:rPr>
            </w:pPr>
            <w:r>
              <w:rPr>
                <w:rFonts w:ascii="Cambria" w:eastAsia="Cambria" w:hAnsi="Cambria" w:cs="Cambria"/>
                <w:b/>
                <w:noProof/>
                <w:color w:val="000000"/>
                <w:lang w:val="en-US" w:eastAsia="en-US"/>
              </w:rPr>
              <w:drawing>
                <wp:inline distT="0" distB="0" distL="0" distR="0">
                  <wp:extent cx="1733678" cy="5220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r:embed="rId10"/>
                          <a:stretch>
                            <a:fillRect/>
                          </a:stretch>
                        </pic:blipFill>
                        <pic:spPr>
                          <a:xfrm>
                            <a:off x="0" y="0"/>
                            <a:ext cx="1733678" cy="522000"/>
                          </a:xfrm>
                          <a:prstGeom prst="rect">
                            <a:avLst/>
                          </a:prstGeom>
                        </pic:spPr>
                      </pic:pic>
                    </a:graphicData>
                  </a:graphic>
                </wp:inline>
              </w:drawing>
            </w:r>
          </w:p>
        </w:tc>
      </w:tr>
    </w:tbl>
    <w:p w:rsidR="007E2572" w:rsidRDefault="007E2572">
      <w:pPr>
        <w:rPr>
          <w:rFonts w:ascii="Cambria" w:eastAsia="Cambria" w:hAnsi="Cambria" w:cs="Cambria"/>
          <w:b/>
          <w:color w:val="000000"/>
          <w:sz w:val="32"/>
          <w:szCs w:val="32"/>
        </w:rPr>
      </w:pPr>
    </w:p>
    <w:p w:rsidR="00C40C8F" w:rsidRPr="00C40C8F" w:rsidRDefault="00CB6AA0" w:rsidP="00C40C8F">
      <w:pPr>
        <w:pStyle w:val="AuthAdds"/>
        <w:spacing w:after="0"/>
        <w:ind w:left="0"/>
        <w:jc w:val="center"/>
        <w:rPr>
          <w:rFonts w:asciiTheme="minorHAnsi" w:hAnsiTheme="minorHAnsi"/>
          <w:b/>
          <w:sz w:val="32"/>
          <w:szCs w:val="32"/>
          <w:lang w:val="en-US"/>
        </w:rPr>
      </w:pPr>
      <w:r w:rsidRPr="005A7613">
        <w:rPr>
          <w:rFonts w:asciiTheme="minorHAnsi" w:hAnsiTheme="minorHAnsi"/>
          <w:b/>
          <w:sz w:val="32"/>
          <w:szCs w:val="32"/>
          <w:lang w:val="en-US"/>
        </w:rPr>
        <w:t>The Role of Financial Literacy in Enhancing MSME Performance in Emerging Economies</w:t>
      </w:r>
    </w:p>
    <w:p w:rsidR="007E2572" w:rsidRDefault="007E2572">
      <w:pPr>
        <w:jc w:val="center"/>
        <w:rPr>
          <w:rFonts w:ascii="Cambria" w:eastAsia="Cambria" w:hAnsi="Cambria" w:cs="Cambria"/>
          <w:sz w:val="24"/>
          <w:szCs w:val="24"/>
        </w:rPr>
      </w:pPr>
    </w:p>
    <w:p w:rsidR="002050BB" w:rsidRPr="005A7613" w:rsidRDefault="00CB6AA0" w:rsidP="002050BB">
      <w:pPr>
        <w:pStyle w:val="AuthAdds"/>
        <w:spacing w:after="0"/>
        <w:ind w:left="0"/>
        <w:jc w:val="center"/>
        <w:rPr>
          <w:rFonts w:ascii="Cambria" w:hAnsi="Cambria"/>
          <w:b/>
          <w:bCs/>
          <w:noProof/>
          <w:sz w:val="22"/>
          <w:szCs w:val="22"/>
          <w:vertAlign w:val="superscript"/>
          <w:lang w:val="en-ID"/>
        </w:rPr>
      </w:pPr>
      <w:r w:rsidRPr="005A7613">
        <w:rPr>
          <w:rFonts w:ascii="Cambria" w:hAnsi="Cambria"/>
          <w:b/>
          <w:bCs/>
          <w:noProof/>
          <w:sz w:val="22"/>
          <w:szCs w:val="22"/>
          <w:lang w:val="en-ID"/>
        </w:rPr>
        <w:t>Aryo Prakoso</w:t>
      </w:r>
      <w:r w:rsidRPr="005A7613">
        <w:rPr>
          <w:rFonts w:ascii="Cambria" w:hAnsi="Cambria"/>
          <w:b/>
          <w:bCs/>
          <w:noProof/>
          <w:sz w:val="22"/>
          <w:szCs w:val="22"/>
          <w:vertAlign w:val="superscript"/>
          <w:lang w:val="en-ID"/>
        </w:rPr>
        <w:t>1*</w:t>
      </w:r>
      <w:r w:rsidRPr="005A7613">
        <w:rPr>
          <w:rFonts w:ascii="Cambria" w:hAnsi="Cambria"/>
          <w:b/>
          <w:bCs/>
          <w:noProof/>
          <w:sz w:val="22"/>
          <w:szCs w:val="22"/>
          <w:lang w:val="en-ID"/>
        </w:rPr>
        <w:t>, Fauziyah Azzahro</w:t>
      </w:r>
      <w:r w:rsidRPr="005A7613">
        <w:rPr>
          <w:rFonts w:ascii="Cambria" w:hAnsi="Cambria"/>
          <w:b/>
          <w:bCs/>
          <w:noProof/>
          <w:sz w:val="22"/>
          <w:szCs w:val="22"/>
          <w:vertAlign w:val="superscript"/>
          <w:lang w:val="en-ID"/>
        </w:rPr>
        <w:t>2</w:t>
      </w:r>
      <w:r w:rsidRPr="005A7613">
        <w:rPr>
          <w:rFonts w:ascii="Cambria" w:hAnsi="Cambria"/>
          <w:b/>
          <w:bCs/>
          <w:noProof/>
          <w:sz w:val="22"/>
          <w:szCs w:val="22"/>
          <w:lang w:val="en-ID"/>
        </w:rPr>
        <w:t>,</w:t>
      </w:r>
      <w:r>
        <w:rPr>
          <w:rFonts w:ascii="Cambria" w:hAnsi="Cambria"/>
          <w:b/>
          <w:bCs/>
          <w:noProof/>
          <w:sz w:val="22"/>
          <w:szCs w:val="22"/>
          <w:lang w:val="en-ID"/>
        </w:rPr>
        <w:t xml:space="preserve"> </w:t>
      </w:r>
      <w:r w:rsidRPr="005A7613">
        <w:rPr>
          <w:rFonts w:ascii="Cambria" w:hAnsi="Cambria"/>
          <w:b/>
          <w:bCs/>
          <w:noProof/>
          <w:sz w:val="22"/>
          <w:szCs w:val="22"/>
          <w:lang w:val="en-ID"/>
        </w:rPr>
        <w:t>Senato Erasandi</w:t>
      </w:r>
      <w:r w:rsidRPr="005A7613">
        <w:rPr>
          <w:rFonts w:ascii="Cambria" w:hAnsi="Cambria"/>
          <w:b/>
          <w:bCs/>
          <w:noProof/>
          <w:sz w:val="22"/>
          <w:szCs w:val="22"/>
          <w:vertAlign w:val="superscript"/>
          <w:lang w:val="en-ID"/>
        </w:rPr>
        <w:t>3</w:t>
      </w:r>
    </w:p>
    <w:p w:rsidR="003E475C" w:rsidRPr="005A7613" w:rsidRDefault="00CB6AA0" w:rsidP="002050BB">
      <w:pPr>
        <w:jc w:val="center"/>
        <w:rPr>
          <w:rFonts w:ascii="Cambria" w:hAnsi="Cambria"/>
          <w:iCs/>
          <w:noProof/>
          <w:lang w:val="en-ID"/>
        </w:rPr>
      </w:pPr>
      <w:r w:rsidRPr="005A7613">
        <w:rPr>
          <w:rFonts w:ascii="Cambria" w:hAnsi="Cambria"/>
          <w:iCs/>
          <w:noProof/>
          <w:vertAlign w:val="superscript"/>
        </w:rPr>
        <w:t>1,2,3</w:t>
      </w:r>
      <w:r>
        <w:rPr>
          <w:rFonts w:ascii="Cambria" w:hAnsi="Cambria"/>
          <w:iCs/>
          <w:noProof/>
          <w:vertAlign w:val="superscript"/>
        </w:rPr>
        <w:t xml:space="preserve"> </w:t>
      </w:r>
      <w:r w:rsidRPr="005A7613">
        <w:rPr>
          <w:rFonts w:ascii="Cambria" w:hAnsi="Cambria"/>
          <w:iCs/>
          <w:noProof/>
        </w:rPr>
        <w:t xml:space="preserve">Department of Administrative Science, </w:t>
      </w:r>
      <w:r w:rsidR="001C4A42">
        <w:rPr>
          <w:rFonts w:ascii="Cambria" w:hAnsi="Cambria"/>
          <w:iCs/>
          <w:noProof/>
        </w:rPr>
        <w:t>University of Jember, Indonesia</w:t>
      </w:r>
      <w:bookmarkStart w:id="0" w:name="_GoBack"/>
      <w:bookmarkEnd w:id="0"/>
    </w:p>
    <w:p w:rsidR="00816242" w:rsidRDefault="00816242" w:rsidP="002050BB">
      <w:pPr>
        <w:jc w:val="center"/>
        <w:rPr>
          <w:rFonts w:asciiTheme="minorHAnsi" w:hAnsiTheme="minorHAnsi"/>
          <w:iCs/>
          <w:noProof/>
          <w:sz w:val="22"/>
          <w:szCs w:val="22"/>
        </w:rPr>
      </w:pPr>
    </w:p>
    <w:p w:rsidR="00816242" w:rsidRDefault="00CB6AA0" w:rsidP="002050BB">
      <w:pPr>
        <w:jc w:val="center"/>
        <w:rPr>
          <w:rFonts w:asciiTheme="minorHAnsi" w:hAnsiTheme="minorHAnsi"/>
          <w:iCs/>
          <w:noProof/>
          <w:sz w:val="22"/>
          <w:szCs w:val="22"/>
        </w:rPr>
      </w:pPr>
      <w:r w:rsidRPr="00755FAC">
        <w:rPr>
          <w:rFonts w:ascii="Cambria" w:eastAsia="Cambria" w:hAnsi="Cambria" w:cs="Cambria"/>
          <w:i/>
          <w:color w:val="000000"/>
        </w:rPr>
        <w:t>*Corresponding Author</w:t>
      </w:r>
      <w:r w:rsidRPr="00660074">
        <w:rPr>
          <w:rFonts w:ascii="Cambria" w:eastAsia="Cambria" w:hAnsi="Cambria" w:cs="Cambria"/>
          <w:i/>
        </w:rPr>
        <w:t>:</w:t>
      </w:r>
      <w:r w:rsidRPr="005B3DAF">
        <w:t xml:space="preserve"> </w:t>
      </w:r>
      <w:r w:rsidR="005A7613" w:rsidRPr="005A7613">
        <w:rPr>
          <w:rStyle w:val="Hyperlink"/>
          <w:rFonts w:ascii="Cambria" w:eastAsia="Cambria" w:hAnsi="Cambria" w:cs="Cambria"/>
          <w:i/>
          <w:color w:val="CC0066"/>
          <w:u w:val="none"/>
        </w:rPr>
        <w:t xml:space="preserve">aryo.fisip@unej.ac.id </w:t>
      </w:r>
    </w:p>
    <w:p w:rsidR="002050BB" w:rsidRPr="00816242" w:rsidRDefault="002050BB" w:rsidP="002050BB">
      <w:pPr>
        <w:rPr>
          <w:rFonts w:ascii="Cambria" w:eastAsia="Cambria" w:hAnsi="Cambria" w:cs="Cambria"/>
          <w:sz w:val="22"/>
          <w:szCs w:val="22"/>
        </w:rPr>
      </w:pPr>
    </w:p>
    <w:p w:rsidR="007E2572" w:rsidRDefault="00CB6AA0">
      <w:pPr>
        <w:jc w:val="center"/>
        <w:rPr>
          <w:rFonts w:ascii="Cambria" w:eastAsia="Cambria" w:hAnsi="Cambria" w:cs="Cambria"/>
          <w:sz w:val="24"/>
          <w:szCs w:val="24"/>
        </w:rPr>
      </w:pPr>
      <w:r>
        <w:rPr>
          <w:rFonts w:ascii="Cambria" w:hAnsi="Cambria"/>
          <w:color w:val="000000"/>
          <w:sz w:val="18"/>
          <w:szCs w:val="18"/>
        </w:rPr>
        <w:t xml:space="preserve">Received: </w:t>
      </w:r>
      <w:r w:rsidR="005A7613">
        <w:rPr>
          <w:rFonts w:ascii="Cambria" w:hAnsi="Cambria"/>
          <w:color w:val="000000"/>
          <w:sz w:val="18"/>
          <w:szCs w:val="18"/>
        </w:rPr>
        <w:t>29</w:t>
      </w:r>
      <w:r>
        <w:rPr>
          <w:rFonts w:ascii="Cambria" w:hAnsi="Cambria"/>
          <w:color w:val="000000"/>
          <w:sz w:val="18"/>
          <w:szCs w:val="18"/>
        </w:rPr>
        <w:t>/0</w:t>
      </w:r>
      <w:r w:rsidR="005A7613">
        <w:rPr>
          <w:rFonts w:ascii="Cambria" w:hAnsi="Cambria"/>
          <w:color w:val="000000"/>
          <w:sz w:val="18"/>
          <w:szCs w:val="18"/>
        </w:rPr>
        <w:t>4</w:t>
      </w:r>
      <w:r>
        <w:rPr>
          <w:rFonts w:ascii="Cambria" w:hAnsi="Cambria"/>
          <w:color w:val="000000"/>
          <w:sz w:val="18"/>
          <w:szCs w:val="18"/>
        </w:rPr>
        <w:t xml:space="preserve">/2026  |  Revised: 28/05/2026  |  Accepted: </w:t>
      </w:r>
      <w:r w:rsidR="005A7613">
        <w:rPr>
          <w:rFonts w:ascii="Cambria" w:hAnsi="Cambria"/>
          <w:color w:val="000000"/>
          <w:sz w:val="18"/>
          <w:szCs w:val="18"/>
        </w:rPr>
        <w:t>06</w:t>
      </w:r>
      <w:r w:rsidR="007B40E4">
        <w:rPr>
          <w:rFonts w:ascii="Cambria" w:hAnsi="Cambria"/>
          <w:color w:val="000000"/>
          <w:sz w:val="18"/>
          <w:szCs w:val="18"/>
        </w:rPr>
        <w:t>/0</w:t>
      </w:r>
      <w:r w:rsidR="005A7613">
        <w:rPr>
          <w:rFonts w:ascii="Cambria" w:hAnsi="Cambria"/>
          <w:color w:val="000000"/>
          <w:sz w:val="18"/>
          <w:szCs w:val="18"/>
        </w:rPr>
        <w:t>6</w:t>
      </w:r>
      <w:r w:rsidR="007B40E4">
        <w:rPr>
          <w:rFonts w:ascii="Cambria" w:hAnsi="Cambria"/>
          <w:color w:val="000000"/>
          <w:sz w:val="18"/>
          <w:szCs w:val="18"/>
        </w:rPr>
        <w:t>/2026  |  Publi</w:t>
      </w:r>
      <w:r>
        <w:rPr>
          <w:rFonts w:ascii="Cambria" w:hAnsi="Cambria"/>
          <w:color w:val="000000"/>
          <w:sz w:val="18"/>
          <w:szCs w:val="18"/>
        </w:rPr>
        <w:t>shed: 19</w:t>
      </w:r>
      <w:r w:rsidR="007B40E4">
        <w:rPr>
          <w:rFonts w:ascii="Cambria" w:hAnsi="Cambria"/>
          <w:color w:val="000000"/>
          <w:sz w:val="18"/>
          <w:szCs w:val="18"/>
        </w:rPr>
        <w:t>/</w:t>
      </w:r>
      <w:r>
        <w:rPr>
          <w:rFonts w:ascii="Cambria" w:hAnsi="Cambria"/>
          <w:color w:val="000000"/>
          <w:sz w:val="18"/>
          <w:szCs w:val="18"/>
        </w:rPr>
        <w:t>06</w:t>
      </w:r>
      <w:r w:rsidR="007B40E4">
        <w:rPr>
          <w:rFonts w:ascii="Cambria" w:hAnsi="Cambria"/>
          <w:color w:val="000000"/>
          <w:sz w:val="18"/>
          <w:szCs w:val="18"/>
        </w:rPr>
        <w:t>/2026</w:t>
      </w:r>
    </w:p>
    <w:p w:rsidR="007E2572" w:rsidRDefault="007E2572">
      <w:pPr>
        <w:rPr>
          <w:rFonts w:ascii="Cambria" w:eastAsia="Cambria" w:hAnsi="Cambria" w:cs="Cambria"/>
          <w:sz w:val="24"/>
          <w:szCs w:val="24"/>
        </w:rPr>
      </w:pPr>
    </w:p>
    <w:tbl>
      <w:tblPr>
        <w:tblStyle w:val="4"/>
        <w:tblW w:w="9072" w:type="dxa"/>
        <w:tblBorders>
          <w:top w:val="double" w:sz="4" w:space="0" w:color="000000"/>
          <w:bottom w:val="double" w:sz="4" w:space="0" w:color="000000"/>
        </w:tblBorders>
        <w:tblLayout w:type="fixed"/>
        <w:tblLook w:val="0400" w:firstRow="0" w:lastRow="0" w:firstColumn="0" w:lastColumn="0" w:noHBand="0" w:noVBand="1"/>
      </w:tblPr>
      <w:tblGrid>
        <w:gridCol w:w="9072"/>
      </w:tblGrid>
      <w:tr w:rsidR="00460557" w:rsidTr="00EC08C8">
        <w:trPr>
          <w:trHeight w:val="1992"/>
        </w:trPr>
        <w:tc>
          <w:tcPr>
            <w:tcW w:w="9072" w:type="dxa"/>
            <w:tcMar>
              <w:top w:w="0" w:type="dxa"/>
              <w:left w:w="108" w:type="dxa"/>
              <w:bottom w:w="0" w:type="dxa"/>
              <w:right w:w="108" w:type="dxa"/>
            </w:tcMar>
          </w:tcPr>
          <w:p w:rsidR="007E2572" w:rsidRPr="00816242" w:rsidRDefault="00CB6AA0" w:rsidP="00C40C8F">
            <w:pPr>
              <w:spacing w:before="60"/>
              <w:jc w:val="both"/>
              <w:rPr>
                <w:rFonts w:ascii="Cambria" w:hAnsi="Cambria"/>
                <w:bCs/>
                <w:sz w:val="21"/>
                <w:szCs w:val="21"/>
                <w:lang w:val="en-ID" w:bidi="th-TH"/>
              </w:rPr>
            </w:pPr>
            <w:r>
              <w:rPr>
                <w:rFonts w:ascii="Cambria" w:eastAsia="Cambria" w:hAnsi="Cambria" w:cs="Cambria"/>
                <w:b/>
                <w:color w:val="000000"/>
                <w:sz w:val="22"/>
                <w:szCs w:val="22"/>
              </w:rPr>
              <w:t>Abstract</w:t>
            </w:r>
            <w:r>
              <w:rPr>
                <w:rFonts w:ascii="Cambria" w:eastAsia="Cambria" w:hAnsi="Cambria" w:cs="Cambria"/>
                <w:color w:val="000000"/>
                <w:sz w:val="22"/>
                <w:szCs w:val="22"/>
              </w:rPr>
              <w:t xml:space="preserve">: </w:t>
            </w:r>
            <w:r w:rsidR="005A7613" w:rsidRPr="005A7613">
              <w:rPr>
                <w:rFonts w:ascii="Cambria" w:hAnsi="Cambria"/>
                <w:bCs/>
                <w:sz w:val="21"/>
                <w:szCs w:val="21"/>
                <w:lang w:val="en-ID" w:bidi="th-TH"/>
              </w:rPr>
              <w:t>This study explores the critical role of financial literacy as a strategic determinant of the performance of Micro, Small, and Medium Enterprises (MSMEs) in East Java, one of Indonesia’s largest regional economies. This research seeks to bridge the theoretical gap between individual and organizational human capital by empirically examining the direct influence of owner-managers’ financial competence on business success amid widespread digital transformation. Hypothesis testing employed a quantitative methodology. Data collected from MSMEs in East Java in 2025 were analyzed using covariance-based Structural Equation Modeling (SEM). The robustness of the measurement instrument was confirmed through Confirmatory Factor Analysis (CFA), and the validity of the structural model was rigorously assessed against established goodness-of-fit criteria to examine the proposed causal pathways. The findings provide empirical support for the view that financial literacy emerges as a significant and positive predictor of enhanced MSME performance. The model demonstrated superior fit, thereby affirming the validity of the theoretical framework. This study offers a theoretical contribution by successfully contextualizing the Resource-Based View within the micro-enterprise domain, articulating financial literacy as a critical intangible asset that drives competitive advantage. For practitioners and policymakers, these findings provide authoritative evidence to support integrated intervention strategies that synergize financial education, thereby fostering a more resilient, productive, and sustainable MSME sector essential for inclusive economic growth.</w:t>
            </w:r>
          </w:p>
          <w:p w:rsidR="00A22FAF" w:rsidRPr="00A22FAF" w:rsidRDefault="00A22FAF" w:rsidP="007370BE">
            <w:pPr>
              <w:jc w:val="both"/>
              <w:rPr>
                <w:rFonts w:ascii="Cambria" w:hAnsi="Cambria"/>
                <w:bCs/>
                <w:sz w:val="22"/>
                <w:szCs w:val="22"/>
                <w:lang w:val="en-ID" w:bidi="th-TH"/>
              </w:rPr>
            </w:pPr>
          </w:p>
          <w:p w:rsidR="00C40C8F" w:rsidRDefault="00CB6AA0" w:rsidP="00CB6AA0">
            <w:pPr>
              <w:pBdr>
                <w:top w:val="nil"/>
                <w:left w:val="nil"/>
                <w:bottom w:val="nil"/>
                <w:right w:val="nil"/>
                <w:between w:val="nil"/>
              </w:pBdr>
              <w:jc w:val="both"/>
              <w:rPr>
                <w:rFonts w:asciiTheme="minorHAnsi" w:eastAsiaTheme="minorEastAsia" w:hAnsiTheme="minorHAnsi"/>
                <w:i/>
                <w:iCs/>
                <w:sz w:val="22"/>
                <w:szCs w:val="22"/>
              </w:rPr>
            </w:pPr>
            <w:r>
              <w:rPr>
                <w:rFonts w:ascii="Cambria" w:eastAsia="Cambria" w:hAnsi="Cambria" w:cs="Cambria"/>
                <w:b/>
                <w:i/>
                <w:color w:val="000000"/>
                <w:sz w:val="22"/>
                <w:szCs w:val="22"/>
              </w:rPr>
              <w:t>Keywords</w:t>
            </w:r>
            <w:r w:rsidRPr="00C40C8F">
              <w:rPr>
                <w:rFonts w:asciiTheme="minorHAnsi" w:eastAsia="Cambria" w:hAnsiTheme="minorHAnsi" w:cs="Cambria"/>
                <w:color w:val="000000"/>
                <w:sz w:val="22"/>
                <w:szCs w:val="22"/>
              </w:rPr>
              <w:t xml:space="preserve">: </w:t>
            </w:r>
            <w:r w:rsidR="005A7613" w:rsidRPr="005A7613">
              <w:rPr>
                <w:rFonts w:asciiTheme="minorHAnsi" w:eastAsiaTheme="minorEastAsia" w:hAnsiTheme="minorHAnsi"/>
                <w:i/>
                <w:iCs/>
                <w:sz w:val="22"/>
                <w:szCs w:val="22"/>
              </w:rPr>
              <w:t xml:space="preserve">financial literacy, MSME performance, human resources, resource-based view, emerging market </w:t>
            </w:r>
          </w:p>
          <w:p w:rsidR="005A7613" w:rsidRPr="00C40C8F" w:rsidRDefault="005A7613" w:rsidP="005A7613">
            <w:pPr>
              <w:pBdr>
                <w:top w:val="nil"/>
                <w:left w:val="nil"/>
                <w:bottom w:val="nil"/>
                <w:right w:val="nil"/>
                <w:between w:val="nil"/>
              </w:pBdr>
              <w:rPr>
                <w:color w:val="000000"/>
                <w:sz w:val="18"/>
                <w:szCs w:val="18"/>
              </w:rPr>
            </w:pPr>
          </w:p>
        </w:tc>
      </w:tr>
    </w:tbl>
    <w:p w:rsidR="007E2572" w:rsidRPr="00CB6AA0" w:rsidRDefault="00CB6AA0" w:rsidP="00CC1B68">
      <w:pPr>
        <w:pBdr>
          <w:top w:val="nil"/>
          <w:left w:val="nil"/>
          <w:bottom w:val="nil"/>
          <w:right w:val="nil"/>
          <w:between w:val="nil"/>
        </w:pBdr>
        <w:spacing w:before="60"/>
        <w:jc w:val="both"/>
        <w:rPr>
          <w:rStyle w:val="Hyperlink"/>
          <w:rFonts w:ascii="Calibri Light" w:hAnsi="Calibri Light" w:cs="Calibri Light"/>
          <w:color w:val="CC0066"/>
          <w:sz w:val="16"/>
          <w:szCs w:val="16"/>
          <w:u w:val="none"/>
          <w:lang w:val="en-US"/>
        </w:rPr>
      </w:pPr>
      <w:r w:rsidRPr="003307C4">
        <w:rPr>
          <w:rFonts w:ascii="Calibri Light" w:hAnsi="Calibri Light" w:cs="Calibri Light"/>
          <w:b/>
          <w:bCs/>
          <w:color w:val="000000"/>
          <w:sz w:val="16"/>
          <w:szCs w:val="16"/>
          <w:lang w:val="en-US"/>
        </w:rPr>
        <w:t>How to Cite</w:t>
      </w:r>
      <w:r w:rsidRPr="003307C4">
        <w:rPr>
          <w:rFonts w:ascii="Calibri Light" w:hAnsi="Calibri Light" w:cs="Calibri Light"/>
          <w:color w:val="000000"/>
          <w:sz w:val="16"/>
          <w:szCs w:val="16"/>
          <w:lang w:val="en-US"/>
        </w:rPr>
        <w:t>:</w:t>
      </w:r>
      <w:r w:rsidRPr="003307C4">
        <w:rPr>
          <w:rFonts w:ascii="Calibri Light" w:hAnsi="Calibri Light" w:cs="Calibri Light"/>
          <w:sz w:val="16"/>
          <w:szCs w:val="16"/>
        </w:rPr>
        <w:t xml:space="preserve"> </w:t>
      </w:r>
      <w:r w:rsidR="005A7613" w:rsidRPr="005A7613">
        <w:rPr>
          <w:rFonts w:ascii="Calibri Light" w:hAnsi="Calibri Light" w:cs="Calibri Light"/>
          <w:color w:val="000000"/>
          <w:sz w:val="16"/>
          <w:szCs w:val="16"/>
          <w:lang w:val="en-US"/>
        </w:rPr>
        <w:t>Prakoso, A., Azzahro, F., &amp; Erasandi, S. (2026). The Role of Financial Literacy in Enhancing MSME Performance in Emerging Economies</w:t>
      </w:r>
      <w:r w:rsidRPr="00D17203">
        <w:rPr>
          <w:rFonts w:ascii="Calibri Light" w:hAnsi="Calibri Light" w:cs="Calibri Light"/>
          <w:color w:val="000000"/>
          <w:sz w:val="16"/>
          <w:szCs w:val="16"/>
          <w:lang w:val="en-US"/>
        </w:rPr>
        <w:t xml:space="preserve">. </w:t>
      </w:r>
      <w:r w:rsidRPr="0038359A">
        <w:rPr>
          <w:rFonts w:ascii="Calibri Light" w:hAnsi="Calibri Light" w:cs="Calibri Light"/>
          <w:i/>
          <w:iCs/>
          <w:color w:val="000000"/>
          <w:sz w:val="16"/>
          <w:szCs w:val="16"/>
          <w:lang w:val="en-US"/>
        </w:rPr>
        <w:t xml:space="preserve">Journal of Economics and Management, </w:t>
      </w:r>
      <w:r w:rsidR="00594886">
        <w:rPr>
          <w:rFonts w:ascii="Calibri Light" w:hAnsi="Calibri Light" w:cs="Calibri Light"/>
          <w:i/>
          <w:iCs/>
          <w:color w:val="000000"/>
          <w:sz w:val="16"/>
          <w:szCs w:val="16"/>
          <w:lang w:val="en-US"/>
        </w:rPr>
        <w:t>4</w:t>
      </w:r>
      <w:r w:rsidRPr="00D17203">
        <w:rPr>
          <w:rFonts w:ascii="Calibri Light" w:hAnsi="Calibri Light" w:cs="Calibri Light"/>
          <w:color w:val="000000"/>
          <w:sz w:val="16"/>
          <w:szCs w:val="16"/>
          <w:lang w:val="en-US"/>
        </w:rPr>
        <w:t>(</w:t>
      </w:r>
      <w:r w:rsidR="005809ED">
        <w:rPr>
          <w:rFonts w:ascii="Calibri Light" w:hAnsi="Calibri Light" w:cs="Calibri Light"/>
          <w:color w:val="000000"/>
          <w:sz w:val="16"/>
          <w:szCs w:val="16"/>
          <w:lang w:val="en-US"/>
        </w:rPr>
        <w:t>2</w:t>
      </w:r>
      <w:r w:rsidRPr="00D17203">
        <w:rPr>
          <w:rFonts w:ascii="Calibri Light" w:hAnsi="Calibri Light" w:cs="Calibri Light"/>
          <w:color w:val="000000"/>
          <w:sz w:val="16"/>
          <w:szCs w:val="16"/>
          <w:lang w:val="en-US"/>
        </w:rPr>
        <w:t xml:space="preserve">), </w:t>
      </w:r>
      <w:r w:rsidR="000F64A5">
        <w:rPr>
          <w:rFonts w:ascii="Calibri Light" w:hAnsi="Calibri Light" w:cs="Calibri Light"/>
          <w:color w:val="000000"/>
          <w:sz w:val="16"/>
          <w:szCs w:val="16"/>
          <w:lang w:val="en-US"/>
        </w:rPr>
        <w:t>383-402</w:t>
      </w:r>
      <w:r w:rsidR="00CC1B68">
        <w:rPr>
          <w:rFonts w:ascii="Calibri Light" w:hAnsi="Calibri Light" w:cs="Calibri Light"/>
          <w:color w:val="000000"/>
          <w:sz w:val="16"/>
          <w:szCs w:val="16"/>
          <w:lang w:val="en-US"/>
        </w:rPr>
        <w:t xml:space="preserve">. </w:t>
      </w:r>
      <w:hyperlink r:id="rId11" w:history="1">
        <w:r w:rsidR="00EC3D53" w:rsidRPr="00CB6AA0">
          <w:rPr>
            <w:rStyle w:val="Hyperlink"/>
            <w:rFonts w:ascii="Calibri Light" w:hAnsi="Calibri Light" w:cs="Calibri Light"/>
            <w:color w:val="CC0066"/>
            <w:sz w:val="16"/>
            <w:szCs w:val="16"/>
            <w:u w:val="none"/>
            <w:lang w:val="en-US"/>
          </w:rPr>
          <w:t>https://doi.org/10.70716/ecoma.v4i</w:t>
        </w:r>
        <w:r w:rsidR="005A7613" w:rsidRPr="00CB6AA0">
          <w:rPr>
            <w:rStyle w:val="Hyperlink"/>
            <w:rFonts w:ascii="Calibri Light" w:hAnsi="Calibri Light" w:cs="Calibri Light"/>
            <w:color w:val="CC0066"/>
            <w:sz w:val="16"/>
            <w:szCs w:val="16"/>
            <w:u w:val="none"/>
            <w:lang w:val="en-US"/>
          </w:rPr>
          <w:t>2</w:t>
        </w:r>
        <w:r w:rsidR="00EC3D53" w:rsidRPr="00CB6AA0">
          <w:rPr>
            <w:rStyle w:val="Hyperlink"/>
            <w:rFonts w:ascii="Calibri Light" w:hAnsi="Calibri Light" w:cs="Calibri Light"/>
            <w:color w:val="CC0066"/>
            <w:sz w:val="16"/>
            <w:szCs w:val="16"/>
            <w:u w:val="none"/>
            <w:lang w:val="en-US"/>
          </w:rPr>
          <w:t>.</w:t>
        </w:r>
        <w:r w:rsidR="005A7613" w:rsidRPr="00CB6AA0">
          <w:rPr>
            <w:rStyle w:val="Hyperlink"/>
            <w:rFonts w:ascii="Calibri Light" w:hAnsi="Calibri Light" w:cs="Calibri Light"/>
            <w:color w:val="CC0066"/>
            <w:sz w:val="16"/>
            <w:szCs w:val="16"/>
            <w:u w:val="none"/>
            <w:lang w:val="en-US"/>
          </w:rPr>
          <w:t>515</w:t>
        </w:r>
      </w:hyperlink>
    </w:p>
    <w:p w:rsidR="00CC1B68" w:rsidRPr="00CB6AA0" w:rsidRDefault="00CC1B68" w:rsidP="00CC1B68">
      <w:pPr>
        <w:pBdr>
          <w:top w:val="nil"/>
          <w:left w:val="nil"/>
          <w:bottom w:val="nil"/>
          <w:right w:val="nil"/>
          <w:between w:val="nil"/>
        </w:pBdr>
        <w:spacing w:before="60"/>
        <w:jc w:val="both"/>
        <w:rPr>
          <w:rFonts w:ascii="Cambria" w:eastAsia="Cambria" w:hAnsi="Cambria" w:cs="Cambria"/>
          <w:color w:val="000000"/>
          <w:lang w:val="en-US"/>
        </w:rPr>
        <w:sectPr w:rsidR="00CC1B68" w:rsidRPr="00CB6AA0" w:rsidSect="00CB6AA0">
          <w:headerReference w:type="default" r:id="rId12"/>
          <w:footerReference w:type="default" r:id="rId13"/>
          <w:footerReference w:type="first" r:id="rId14"/>
          <w:pgSz w:w="11906" w:h="16838"/>
          <w:pgMar w:top="1134" w:right="1418" w:bottom="1134" w:left="1418" w:header="0" w:footer="0" w:gutter="0"/>
          <w:pgNumType w:start="383"/>
          <w:cols w:space="720"/>
          <w:titlePg/>
        </w:sectPr>
      </w:pPr>
    </w:p>
    <w:p w:rsidR="007E2572" w:rsidRPr="00BB2F40" w:rsidRDefault="00CB6AA0" w:rsidP="00122BB6">
      <w:pPr>
        <w:spacing w:before="240" w:after="120"/>
        <w:jc w:val="both"/>
        <w:rPr>
          <w:rFonts w:ascii="Cambria" w:eastAsia="Cambria" w:hAnsi="Cambria" w:cs="Cambria"/>
          <w:b/>
          <w:sz w:val="24"/>
          <w:szCs w:val="24"/>
        </w:rPr>
      </w:pPr>
      <w:r w:rsidRPr="00BB2F40">
        <w:rPr>
          <w:rFonts w:ascii="Cambria" w:eastAsia="Cambria" w:hAnsi="Cambria" w:cs="Cambria"/>
          <w:b/>
          <w:sz w:val="24"/>
          <w:szCs w:val="24"/>
        </w:rPr>
        <w:t>INTRODUCTION</w:t>
      </w:r>
    </w:p>
    <w:p w:rsidR="005A7613" w:rsidRPr="00AB6194" w:rsidRDefault="00CB6AA0" w:rsidP="005A7613">
      <w:pPr>
        <w:ind w:firstLine="567"/>
        <w:jc w:val="both"/>
        <w:rPr>
          <w:rFonts w:ascii="Cambria" w:eastAsia="Cambria" w:hAnsi="Cambria" w:cs="Cambria"/>
          <w:color w:val="000000"/>
          <w:sz w:val="24"/>
          <w:szCs w:val="24"/>
          <w:lang w:val="id-ID"/>
        </w:rPr>
      </w:pPr>
      <w:r w:rsidRPr="00AB6194">
        <w:rPr>
          <w:rFonts w:ascii="Cambria" w:eastAsia="Cambria" w:hAnsi="Cambria" w:cs="Cambria"/>
          <w:color w:val="000000"/>
          <w:sz w:val="24"/>
          <w:szCs w:val="24"/>
          <w:lang w:val="id-ID"/>
        </w:rPr>
        <w:t xml:space="preserve">Micro, Small, and Medium Enterprises (MSMEs) constitute the backbone of the Indonesian economy, demonstrating remarkable resilience during economic crises and serving as the primary engine of economic growth. Data from the Indonesian Ministry of Cooperatives and SMEs indicates that the number of MSME units increased from 59 million in 2014 to 67.4 million by 2019, accounting for over 99% of all businesses nationwide </w:t>
      </w:r>
      <w:sdt>
        <w:sdtPr>
          <w:rPr>
            <w:rFonts w:ascii="Cambria" w:eastAsia="Cambria" w:hAnsi="Cambria" w:cs="Cambria"/>
            <w:color w:val="000000"/>
            <w:sz w:val="24"/>
            <w:szCs w:val="24"/>
            <w:lang w:val="id-ID"/>
          </w:rPr>
          <w:tag w:val="MENDELEY_CITATION_v3_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"/>
          <w:id w:val="-596481682"/>
          <w:placeholder>
            <w:docPart w:val="D71CF0D2E24A4B9FADB5EB73DA3D467C"/>
          </w:placeholder>
        </w:sdtPr>
        <w:sdtEndPr/>
        <w:sdtContent>
          <w:r w:rsidRPr="00DE1AA2">
            <w:rPr>
              <w:rFonts w:ascii="Cambria" w:eastAsia="Cambria" w:hAnsi="Cambria" w:cs="Cambria"/>
              <w:color w:val="000000"/>
              <w:sz w:val="24"/>
              <w:szCs w:val="24"/>
              <w:lang w:val="id-ID"/>
            </w:rPr>
            <w:t>(Anggraini et al., 2025)</w:t>
          </w:r>
        </w:sdtContent>
      </w:sdt>
      <w:r w:rsidRPr="00AB6194">
        <w:rPr>
          <w:rFonts w:ascii="Cambria" w:eastAsia="Cambria" w:hAnsi="Cambria" w:cs="Cambria"/>
          <w:color w:val="000000"/>
          <w:sz w:val="24"/>
          <w:szCs w:val="24"/>
          <w:lang w:val="id-ID"/>
        </w:rPr>
        <w:t xml:space="preserve">. This sector absorbs 97% of the national workforce. It contributes approximately 61% to the Gross Domestic Product (GDP), positioning MSMEs not merely as an economic buffer but as Indonesia's "macroeconomic immune system" in responding to external shocks </w:t>
      </w:r>
      <w:sdt>
        <w:sdtPr>
          <w:rPr>
            <w:rFonts w:ascii="Cambria" w:eastAsia="Cambria" w:hAnsi="Cambria" w:cs="Cambria"/>
            <w:color w:val="000000"/>
            <w:sz w:val="24"/>
            <w:szCs w:val="24"/>
            <w:lang w:val="id-ID"/>
          </w:rPr>
          <w:tag w:val="MENDELEY_CITATION_v3_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"/>
          <w:id w:val="-689214167"/>
          <w:placeholder>
            <w:docPart w:val="D71CF0D2E24A4B9FADB5EB73DA3D467C"/>
          </w:placeholder>
        </w:sdtPr>
        <w:sdtEndPr/>
        <w:sdtContent>
          <w:r w:rsidRPr="00DE1AA2">
            <w:rPr>
              <w:rFonts w:ascii="Cambria" w:eastAsia="Cambria" w:hAnsi="Cambria" w:cs="Cambria"/>
              <w:color w:val="000000"/>
              <w:sz w:val="24"/>
              <w:szCs w:val="24"/>
              <w:lang w:val="id-ID"/>
            </w:rPr>
            <w:t>(Widodo, 2022)</w:t>
          </w:r>
        </w:sdtContent>
      </w:sdt>
      <w:r w:rsidRPr="00AB6194">
        <w:rPr>
          <w:rFonts w:ascii="Cambria" w:eastAsia="Cambria" w:hAnsi="Cambria" w:cs="Cambria"/>
          <w:color w:val="000000"/>
          <w:sz w:val="24"/>
          <w:szCs w:val="24"/>
          <w:lang w:val="id-ID"/>
        </w:rPr>
        <w:t>.</w:t>
      </w:r>
    </w:p>
    <w:p w:rsidR="005A7613" w:rsidRPr="00AB6194" w:rsidRDefault="00CB6AA0" w:rsidP="005A7613">
      <w:pPr>
        <w:ind w:firstLine="567"/>
        <w:jc w:val="both"/>
        <w:rPr>
          <w:rFonts w:ascii="Cambria" w:eastAsia="Cambria" w:hAnsi="Cambria" w:cs="Cambria"/>
          <w:color w:val="000000"/>
          <w:sz w:val="24"/>
          <w:szCs w:val="24"/>
          <w:lang w:val="id-ID"/>
        </w:rPr>
      </w:pPr>
      <w:r w:rsidRPr="00AB6194">
        <w:rPr>
          <w:rFonts w:ascii="Cambria" w:eastAsia="Cambria" w:hAnsi="Cambria" w:cs="Cambria"/>
          <w:color w:val="000000"/>
          <w:sz w:val="24"/>
          <w:szCs w:val="24"/>
          <w:lang w:val="id-ID"/>
        </w:rPr>
        <w:t xml:space="preserve">Despite this strategic importance, MSMEs in Indonesia face persistent challenges in financial management. Many business owners inadequately address financial planning, </w:t>
      </w:r>
      <w:r w:rsidRPr="00AB6194">
        <w:rPr>
          <w:rFonts w:ascii="Cambria" w:eastAsia="Cambria" w:hAnsi="Cambria" w:cs="Cambria"/>
          <w:color w:val="000000"/>
          <w:sz w:val="24"/>
          <w:szCs w:val="24"/>
          <w:lang w:val="id-ID"/>
        </w:rPr>
        <w:lastRenderedPageBreak/>
        <w:t xml:space="preserve">lack long-term investment and savings planning, and struggle to access formal financial services. The COVID-19 pandemic exacerbated these vulnerabilities, as 37% of MSMEs experienced turnover declines exceeding 50% in 2020 (Financial Services Authority, 2023). However, the sector demonstrated higher adaptive capacity compared to large enterprises, with its GDP contribution increasing from 61.07% (2020) to 62.92% (2023) </w:t>
      </w:r>
      <w:sdt>
        <w:sdtPr>
          <w:rPr>
            <w:rFonts w:ascii="Cambria" w:eastAsia="Cambria" w:hAnsi="Cambria" w:cs="Cambria"/>
            <w:color w:val="000000"/>
            <w:sz w:val="24"/>
            <w:szCs w:val="24"/>
            <w:lang w:val="id-ID"/>
          </w:rPr>
          <w:tag w:val="MENDELEY_CITATION_v3_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"/>
          <w:id w:val="76031552"/>
          <w:placeholder>
            <w:docPart w:val="D71CF0D2E24A4B9FADB5EB73DA3D467C"/>
          </w:placeholder>
        </w:sdtPr>
        <w:sdtEndPr/>
        <w:sdtContent>
          <w:r w:rsidRPr="00DE1AA2">
            <w:rPr>
              <w:rFonts w:ascii="Cambria" w:eastAsia="Cambria" w:hAnsi="Cambria" w:cs="Cambria"/>
              <w:color w:val="000000"/>
              <w:sz w:val="24"/>
              <w:szCs w:val="24"/>
              <w:lang w:val="id-ID"/>
            </w:rPr>
            <w:t>(Kurnia et al., 2024)</w:t>
          </w:r>
        </w:sdtContent>
      </w:sdt>
      <w:r w:rsidRPr="00AB6194">
        <w:rPr>
          <w:rFonts w:ascii="Cambria" w:eastAsia="Cambria" w:hAnsi="Cambria" w:cs="Cambria"/>
          <w:color w:val="000000"/>
          <w:sz w:val="24"/>
          <w:szCs w:val="24"/>
          <w:lang w:val="id-ID"/>
        </w:rPr>
        <w:t>.</w:t>
      </w:r>
    </w:p>
    <w:p w:rsidR="005A7613" w:rsidRPr="00AB6194" w:rsidRDefault="00CB6AA0" w:rsidP="005A7613">
      <w:pPr>
        <w:ind w:firstLine="567"/>
        <w:jc w:val="both"/>
        <w:rPr>
          <w:rFonts w:ascii="Cambria" w:eastAsia="Cambria" w:hAnsi="Cambria" w:cs="Cambria"/>
          <w:color w:val="000000"/>
          <w:sz w:val="24"/>
          <w:szCs w:val="24"/>
          <w:lang w:val="id-ID"/>
        </w:rPr>
      </w:pPr>
      <w:r w:rsidRPr="00AB6194">
        <w:rPr>
          <w:rFonts w:ascii="Cambria" w:eastAsia="Cambria" w:hAnsi="Cambria" w:cs="Cambria"/>
          <w:color w:val="000000"/>
          <w:sz w:val="24"/>
          <w:szCs w:val="24"/>
          <w:lang w:val="id-ID"/>
        </w:rPr>
        <w:t xml:space="preserve">The 2025 National Survey of Financial Literacy and Inclusion (SNLIK) reported that Indonesia's financial literacy index increased to 66.46% from 65.43% the previous year, while the financial inclusion index rose more significantly to 80.51% from 75.02% </w:t>
      </w:r>
      <w:sdt>
        <w:sdtPr>
          <w:rPr>
            <w:rFonts w:ascii="Cambria" w:eastAsia="Cambria" w:hAnsi="Cambria" w:cs="Cambria"/>
            <w:color w:val="000000"/>
            <w:sz w:val="24"/>
            <w:szCs w:val="24"/>
            <w:lang w:val="id-ID"/>
          </w:rPr>
          <w:tag w:val="MENDELEY_CITATION_v3_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"/>
          <w:id w:val="-1260907006"/>
          <w:placeholder>
            <w:docPart w:val="D71CF0D2E24A4B9FADB5EB73DA3D467C"/>
          </w:placeholder>
        </w:sdtPr>
        <w:sdtEndPr/>
        <w:sdtContent>
          <w:r w:rsidRPr="00DE1AA2">
            <w:rPr>
              <w:rFonts w:ascii="Cambria" w:eastAsia="Cambria" w:hAnsi="Cambria" w:cs="Cambria"/>
              <w:color w:val="000000"/>
              <w:sz w:val="24"/>
              <w:szCs w:val="24"/>
              <w:lang w:val="id-ID"/>
            </w:rPr>
            <w:t>(Asmawati et al., 2025)</w:t>
          </w:r>
        </w:sdtContent>
      </w:sdt>
      <w:r w:rsidRPr="00AB6194">
        <w:rPr>
          <w:rFonts w:ascii="Cambria" w:eastAsia="Cambria" w:hAnsi="Cambria" w:cs="Cambria"/>
          <w:color w:val="000000"/>
          <w:sz w:val="24"/>
          <w:szCs w:val="24"/>
          <w:lang w:val="id-ID"/>
        </w:rPr>
        <w:t>. Beneath these positive statistics lies a critical structural challenge: the gap between inclusion and literacy has widened from 9.59% in 2024 to 14.05% in 2025. This indicates that financial infrastructure expansion, particularly digital infrastructure, is proceeding faster than society's capacity to internalize the knowledge required for resilient financial decision-making. Furthermore, Indonesia's literacy level remains below that of neighboring countries</w:t>
      </w:r>
      <w:r>
        <w:rPr>
          <w:rFonts w:ascii="Cambria" w:eastAsia="Cambria" w:hAnsi="Cambria" w:cs="Cambria"/>
          <w:color w:val="000000"/>
          <w:sz w:val="24"/>
          <w:szCs w:val="24"/>
          <w:lang w:val="id-ID"/>
        </w:rPr>
        <w:t xml:space="preserve">, </w:t>
      </w:r>
      <w:r w:rsidRPr="00AB6194">
        <w:rPr>
          <w:rFonts w:ascii="Cambria" w:eastAsia="Cambria" w:hAnsi="Cambria" w:cs="Cambria"/>
          <w:color w:val="000000"/>
          <w:sz w:val="24"/>
          <w:szCs w:val="24"/>
          <w:lang w:val="id-ID"/>
        </w:rPr>
        <w:t>Singapore (96%), Malaysia (81%), and Thailand (76%)</w:t>
      </w:r>
      <w:r>
        <w:rPr>
          <w:rFonts w:ascii="Cambria" w:eastAsia="Cambria" w:hAnsi="Cambria" w:cs="Cambria"/>
          <w:color w:val="000000"/>
          <w:sz w:val="24"/>
          <w:szCs w:val="24"/>
          <w:lang w:val="id-ID"/>
        </w:rPr>
        <w:t xml:space="preserve">, </w:t>
      </w:r>
      <w:r w:rsidRPr="00AB6194">
        <w:rPr>
          <w:rFonts w:ascii="Cambria" w:eastAsia="Cambria" w:hAnsi="Cambria" w:cs="Cambria"/>
          <w:color w:val="000000"/>
          <w:sz w:val="24"/>
          <w:szCs w:val="24"/>
          <w:lang w:val="id-ID"/>
        </w:rPr>
        <w:t>reflecting a capability gap that hinders economic transformation.</w:t>
      </w:r>
    </w:p>
    <w:p w:rsidR="005A7613" w:rsidRPr="00AB6194" w:rsidRDefault="00CB6AA0" w:rsidP="005A7613">
      <w:pPr>
        <w:ind w:firstLine="567"/>
        <w:jc w:val="both"/>
        <w:rPr>
          <w:rFonts w:ascii="Cambria" w:eastAsia="Cambria" w:hAnsi="Cambria" w:cs="Cambria"/>
          <w:color w:val="000000"/>
          <w:sz w:val="24"/>
          <w:szCs w:val="24"/>
          <w:lang w:val="id-ID"/>
        </w:rPr>
      </w:pPr>
      <w:r w:rsidRPr="00AB6194">
        <w:rPr>
          <w:rFonts w:ascii="Cambria" w:eastAsia="Cambria" w:hAnsi="Cambria" w:cs="Cambria"/>
          <w:color w:val="000000"/>
          <w:sz w:val="24"/>
          <w:szCs w:val="24"/>
          <w:lang w:val="id-ID"/>
        </w:rPr>
        <w:t xml:space="preserve">In East Java, the MSME population grew from 6.8 million in 2012 to 9.59 million in 2023, yet this growth has not translated into proportional prosperity </w:t>
      </w:r>
      <w:sdt>
        <w:sdtPr>
          <w:rPr>
            <w:rFonts w:ascii="Cambria" w:eastAsia="Cambria" w:hAnsi="Cambria" w:cs="Cambria"/>
            <w:color w:val="000000"/>
            <w:sz w:val="24"/>
            <w:szCs w:val="24"/>
            <w:lang w:val="id-ID"/>
          </w:rPr>
          <w:tag w:val="MENDELEY_CITATION_v3_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"/>
          <w:id w:val="-14846593"/>
          <w:placeholder>
            <w:docPart w:val="D71CF0D2E24A4B9FADB5EB73DA3D467C"/>
          </w:placeholder>
        </w:sdtPr>
        <w:sdtEndPr/>
        <w:sdtContent>
          <w:r w:rsidRPr="00DE1AA2">
            <w:rPr>
              <w:rFonts w:ascii="Cambria" w:eastAsia="Cambria" w:hAnsi="Cambria" w:cs="Cambria"/>
              <w:color w:val="000000"/>
              <w:sz w:val="24"/>
              <w:szCs w:val="24"/>
              <w:lang w:val="id-ID"/>
            </w:rPr>
            <w:t>(Anggraini et al., 2025)</w:t>
          </w:r>
        </w:sdtContent>
      </w:sdt>
      <w:r w:rsidRPr="00AB6194">
        <w:rPr>
          <w:rFonts w:ascii="Cambria" w:eastAsia="Cambria" w:hAnsi="Cambria" w:cs="Cambria"/>
          <w:color w:val="000000"/>
          <w:sz w:val="24"/>
          <w:szCs w:val="24"/>
          <w:lang w:val="id-ID"/>
        </w:rPr>
        <w:t xml:space="preserve">. Research indicates that MSMEs in East Java exhibit restricted digital skills and financial literacy, creating vulnerabilities in business sustainability </w:t>
      </w:r>
      <w:sdt>
        <w:sdtPr>
          <w:rPr>
            <w:rFonts w:ascii="Cambria" w:eastAsia="Cambria" w:hAnsi="Cambria" w:cs="Cambria"/>
            <w:color w:val="000000"/>
            <w:sz w:val="24"/>
            <w:szCs w:val="24"/>
            <w:lang w:val="id-ID"/>
          </w:rPr>
          <w:tag w:val="MENDELEY_CITATION_v3_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"/>
          <w:id w:val="1331104824"/>
          <w:placeholder>
            <w:docPart w:val="D71CF0D2E24A4B9FADB5EB73DA3D467C"/>
          </w:placeholder>
        </w:sdtPr>
        <w:sdtEndPr/>
        <w:sdtContent>
          <w:r w:rsidRPr="00DE1AA2">
            <w:rPr>
              <w:rFonts w:ascii="Cambria" w:eastAsia="Cambria" w:hAnsi="Cambria" w:cs="Cambria"/>
              <w:color w:val="000000"/>
              <w:sz w:val="24"/>
              <w:szCs w:val="24"/>
              <w:lang w:val="id-ID"/>
            </w:rPr>
            <w:t>(Kurnia et al., 2024)</w:t>
          </w:r>
        </w:sdtContent>
      </w:sdt>
      <w:r w:rsidRPr="00AB6194">
        <w:rPr>
          <w:rFonts w:ascii="Cambria" w:eastAsia="Cambria" w:hAnsi="Cambria" w:cs="Cambria"/>
          <w:color w:val="000000"/>
          <w:sz w:val="24"/>
          <w:szCs w:val="24"/>
          <w:lang w:val="id-ID"/>
        </w:rPr>
        <w:t>. The primary challenges include mixing business funds with personal funds, inadequate financial record-keeping, and limited access to formal credit due to insufficient financial documentation.</w:t>
      </w:r>
    </w:p>
    <w:p w:rsidR="005A7613" w:rsidRPr="00AB6194" w:rsidRDefault="00CB6AA0" w:rsidP="005A7613">
      <w:pPr>
        <w:ind w:firstLine="567"/>
        <w:jc w:val="both"/>
        <w:rPr>
          <w:rFonts w:ascii="Cambria" w:eastAsia="Cambria" w:hAnsi="Cambria" w:cs="Cambria"/>
          <w:color w:val="000000"/>
          <w:sz w:val="24"/>
          <w:szCs w:val="24"/>
          <w:lang w:val="id-ID"/>
        </w:rPr>
      </w:pPr>
      <w:r w:rsidRPr="00AB6194">
        <w:rPr>
          <w:rFonts w:ascii="Cambria" w:eastAsia="Cambria" w:hAnsi="Cambria" w:cs="Cambria"/>
          <w:color w:val="000000"/>
          <w:sz w:val="24"/>
          <w:szCs w:val="24"/>
          <w:lang w:val="id-ID"/>
        </w:rPr>
        <w:t xml:space="preserve">This study addresses a significant research gap: while previous literature has established the positive relationship between financial literacy and business performance in developed economies </w:t>
      </w:r>
      <w:sdt>
        <w:sdtPr>
          <w:rPr>
            <w:rFonts w:ascii="Cambria" w:eastAsia="Cambria" w:hAnsi="Cambria" w:cs="Cambria"/>
            <w:color w:val="000000"/>
            <w:sz w:val="24"/>
            <w:szCs w:val="24"/>
            <w:lang w:val="id-ID"/>
          </w:rPr>
          <w:tag w:val="MENDELEY_CITATION_v3_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"/>
          <w:id w:val="1356933784"/>
          <w:placeholder>
            <w:docPart w:val="D71CF0D2E24A4B9FADB5EB73DA3D467C"/>
          </w:placeholder>
        </w:sdtPr>
        <w:sdtEndPr/>
        <w:sdtContent>
          <w:r w:rsidRPr="00DE1AA2">
            <w:rPr>
              <w:rFonts w:ascii="Cambria" w:hAnsi="Cambria"/>
              <w:color w:val="000000"/>
              <w:sz w:val="24"/>
            </w:rPr>
            <w:t>(Lusardi &amp; Mitchell, 2014; Morgan, 1988)</w:t>
          </w:r>
        </w:sdtContent>
      </w:sdt>
      <w:r w:rsidRPr="00AB6194">
        <w:rPr>
          <w:rFonts w:ascii="Cambria" w:eastAsia="Cambria" w:hAnsi="Cambria" w:cs="Cambria"/>
          <w:color w:val="000000"/>
          <w:sz w:val="24"/>
          <w:szCs w:val="24"/>
          <w:lang w:val="id-ID"/>
        </w:rPr>
        <w:t>, limited empirical evidence exists regarding how financial literacy operates through the tripartite Intellectual Capital framework</w:t>
      </w:r>
      <w:r>
        <w:rPr>
          <w:rFonts w:ascii="Cambria" w:eastAsia="Cambria" w:hAnsi="Cambria" w:cs="Cambria"/>
          <w:color w:val="000000"/>
          <w:sz w:val="24"/>
          <w:szCs w:val="24"/>
          <w:lang w:val="id-ID"/>
        </w:rPr>
        <w:t xml:space="preserve">, </w:t>
      </w:r>
      <w:r w:rsidRPr="00AB6194">
        <w:rPr>
          <w:rFonts w:ascii="Cambria" w:eastAsia="Cambria" w:hAnsi="Cambria" w:cs="Cambria"/>
          <w:color w:val="000000"/>
          <w:sz w:val="24"/>
          <w:szCs w:val="24"/>
          <w:lang w:val="id-ID"/>
        </w:rPr>
        <w:t>Human Capital, Structural Capital, and Relational Capital</w:t>
      </w:r>
      <w:r>
        <w:rPr>
          <w:rFonts w:ascii="Cambria" w:eastAsia="Cambria" w:hAnsi="Cambria" w:cs="Cambria"/>
          <w:color w:val="000000"/>
          <w:sz w:val="24"/>
          <w:szCs w:val="24"/>
          <w:lang w:val="id-ID"/>
        </w:rPr>
        <w:t xml:space="preserve">, </w:t>
      </w:r>
      <w:r w:rsidRPr="00AB6194">
        <w:rPr>
          <w:rFonts w:ascii="Cambria" w:eastAsia="Cambria" w:hAnsi="Cambria" w:cs="Cambria"/>
          <w:color w:val="000000"/>
          <w:sz w:val="24"/>
          <w:szCs w:val="24"/>
          <w:lang w:val="id-ID"/>
        </w:rPr>
        <w:t xml:space="preserve">in the context of Indonesian MSMEs. Existing studies have predominantly examined direct effects without exploring the mechanisms through which financial knowledge translates into organizational performance </w:t>
      </w:r>
      <w:sdt>
        <w:sdtPr>
          <w:rPr>
            <w:rFonts w:ascii="Cambria" w:eastAsia="Cambria" w:hAnsi="Cambria" w:cs="Cambria"/>
            <w:color w:val="000000"/>
            <w:sz w:val="24"/>
            <w:szCs w:val="24"/>
            <w:lang w:val="id-ID"/>
          </w:rPr>
          <w:tag w:val="MENDELEY_CITATION_v3_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"/>
          <w:id w:val="1398322395"/>
          <w:placeholder>
            <w:docPart w:val="D71CF0D2E24A4B9FADB5EB73DA3D467C"/>
          </w:placeholder>
        </w:sdtPr>
        <w:sdtEndPr/>
        <w:sdtContent>
          <w:r w:rsidRPr="00DE1AA2">
            <w:rPr>
              <w:rFonts w:ascii="Cambria" w:eastAsia="Cambria" w:hAnsi="Cambria" w:cs="Cambria"/>
              <w:color w:val="000000"/>
              <w:sz w:val="24"/>
              <w:szCs w:val="24"/>
              <w:lang w:val="id-ID"/>
            </w:rPr>
            <w:t>(Asmawati et al., 2025; Ratnawati et al., 2025)</w:t>
          </w:r>
        </w:sdtContent>
      </w:sdt>
      <w:r w:rsidRPr="00AB6194">
        <w:rPr>
          <w:rFonts w:ascii="Cambria" w:eastAsia="Cambria" w:hAnsi="Cambria" w:cs="Cambria"/>
          <w:color w:val="000000"/>
          <w:sz w:val="24"/>
          <w:szCs w:val="24"/>
          <w:lang w:val="id-ID"/>
        </w:rPr>
        <w:t>.</w:t>
      </w:r>
    </w:p>
    <w:p w:rsidR="005A7613" w:rsidRPr="00AB6194" w:rsidRDefault="00CB6AA0" w:rsidP="005A7613">
      <w:pPr>
        <w:ind w:firstLine="567"/>
        <w:jc w:val="both"/>
        <w:rPr>
          <w:rFonts w:ascii="Cambria" w:eastAsia="Cambria" w:hAnsi="Cambria" w:cs="Cambria"/>
          <w:color w:val="000000"/>
          <w:sz w:val="24"/>
          <w:szCs w:val="24"/>
          <w:lang w:val="id-ID"/>
        </w:rPr>
      </w:pPr>
      <w:r w:rsidRPr="00AB6194">
        <w:rPr>
          <w:rFonts w:ascii="Cambria" w:eastAsia="Cambria" w:hAnsi="Cambria" w:cs="Cambria"/>
          <w:color w:val="000000"/>
          <w:sz w:val="24"/>
          <w:szCs w:val="24"/>
          <w:lang w:val="id-ID"/>
        </w:rPr>
        <w:t>The novelty of this research lies in three contributions. First, it integrates financial literacy within the Intellectual Capital framework, demonstrating how individual competencies (human capital), organizational systems (structural capital), and external networks (relational capital) collectively mediate the relationship between financial literacy and MSME performance</w:t>
      </w:r>
      <w:r>
        <w:rPr>
          <w:rFonts w:ascii="Cambria" w:eastAsia="Cambria" w:hAnsi="Cambria" w:cs="Cambria"/>
          <w:color w:val="000000"/>
          <w:sz w:val="24"/>
          <w:szCs w:val="24"/>
          <w:lang w:val="id-ID"/>
        </w:rPr>
        <w:t xml:space="preserve"> </w:t>
      </w:r>
      <w:r w:rsidRPr="00AB6194">
        <w:rPr>
          <w:rFonts w:ascii="Cambria" w:eastAsia="Cambria" w:hAnsi="Cambria" w:cs="Cambria"/>
          <w:color w:val="000000"/>
          <w:sz w:val="24"/>
          <w:szCs w:val="24"/>
          <w:lang w:val="id-ID"/>
        </w:rPr>
        <w:t xml:space="preserve"> </w:t>
      </w:r>
      <w:sdt>
        <w:sdtPr>
          <w:rPr>
            <w:rFonts w:ascii="Cambria" w:eastAsia="Cambria" w:hAnsi="Cambria" w:cs="Cambria"/>
            <w:color w:val="000000"/>
            <w:sz w:val="24"/>
            <w:szCs w:val="24"/>
            <w:lang w:val="id-ID"/>
          </w:rPr>
          <w:tag w:val="MENDELEY_CITATION_v3_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"/>
          <w:id w:val="-622078434"/>
          <w:placeholder>
            <w:docPart w:val="D71CF0D2E24A4B9FADB5EB73DA3D467C"/>
          </w:placeholder>
        </w:sdtPr>
        <w:sdtEndPr/>
        <w:sdtContent>
          <w:r w:rsidRPr="00DE1AA2">
            <w:rPr>
              <w:rFonts w:ascii="Cambria" w:eastAsia="Cambria" w:hAnsi="Cambria" w:cs="Cambria"/>
              <w:color w:val="000000"/>
              <w:sz w:val="24"/>
              <w:szCs w:val="24"/>
              <w:lang w:val="id-ID"/>
            </w:rPr>
            <w:t>(Ratnawati et al., 2025)</w:t>
          </w:r>
        </w:sdtContent>
      </w:sdt>
      <w:r w:rsidRPr="00AB6194">
        <w:rPr>
          <w:rFonts w:ascii="Cambria" w:eastAsia="Cambria" w:hAnsi="Cambria" w:cs="Cambria"/>
          <w:color w:val="000000"/>
          <w:sz w:val="24"/>
          <w:szCs w:val="24"/>
          <w:lang w:val="id-ID"/>
        </w:rPr>
        <w:t xml:space="preserve">. Second, it provides empirical evidence from the under-researched context of East Java, where digital transformation is rapidly reshaping the MSME landscape. Third, it addresses the literacy-inclusion paradox by examining how digital financial literacy creates unique intangible assets that enhance firm competitiveness </w:t>
      </w:r>
      <w:sdt>
        <w:sdtPr>
          <w:rPr>
            <w:rFonts w:ascii="Cambria" w:eastAsia="Cambria" w:hAnsi="Cambria" w:cs="Cambria"/>
            <w:color w:val="000000"/>
            <w:sz w:val="24"/>
            <w:szCs w:val="24"/>
            <w:lang w:val="id-ID"/>
          </w:rPr>
          <w:tag w:val="MENDELEY_CITATION_v3_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"/>
          <w:id w:val="-2084136311"/>
          <w:placeholder>
            <w:docPart w:val="D71CF0D2E24A4B9FADB5EB73DA3D467C"/>
          </w:placeholder>
        </w:sdtPr>
        <w:sdtEndPr/>
        <w:sdtContent>
          <w:r w:rsidRPr="00DE1AA2">
            <w:rPr>
              <w:rFonts w:ascii="Cambria" w:eastAsia="Cambria" w:hAnsi="Cambria" w:cs="Cambria"/>
              <w:color w:val="000000"/>
              <w:sz w:val="24"/>
              <w:szCs w:val="24"/>
              <w:lang w:val="id-ID"/>
            </w:rPr>
            <w:t>(Ratnawati et al., 2025)</w:t>
          </w:r>
        </w:sdtContent>
      </w:sdt>
      <w:r w:rsidRPr="00AB6194">
        <w:rPr>
          <w:rFonts w:ascii="Cambria" w:eastAsia="Cambria" w:hAnsi="Cambria" w:cs="Cambria"/>
          <w:color w:val="000000"/>
          <w:sz w:val="24"/>
          <w:szCs w:val="24"/>
          <w:lang w:val="id-ID"/>
        </w:rPr>
        <w:t>.</w:t>
      </w:r>
    </w:p>
    <w:p w:rsidR="005A7613" w:rsidRPr="00AB6194" w:rsidRDefault="00CB6AA0" w:rsidP="005A7613">
      <w:pPr>
        <w:ind w:firstLine="567"/>
        <w:jc w:val="both"/>
        <w:rPr>
          <w:rFonts w:ascii="Cambria" w:eastAsia="Cambria" w:hAnsi="Cambria" w:cs="Cambria"/>
          <w:color w:val="000000"/>
          <w:sz w:val="24"/>
          <w:szCs w:val="24"/>
          <w:lang w:val="id-ID"/>
        </w:rPr>
      </w:pPr>
      <w:r w:rsidRPr="00AB6194">
        <w:rPr>
          <w:rFonts w:ascii="Cambria" w:eastAsia="Cambria" w:hAnsi="Cambria" w:cs="Cambria"/>
          <w:color w:val="000000"/>
          <w:sz w:val="24"/>
          <w:szCs w:val="24"/>
          <w:lang w:val="id-ID"/>
        </w:rPr>
        <w:t xml:space="preserve">Drawing on the Resource-Based View </w:t>
      </w:r>
      <w:sdt>
        <w:sdtPr>
          <w:rPr>
            <w:rFonts w:ascii="Cambria" w:eastAsia="Cambria" w:hAnsi="Cambria" w:cs="Cambria"/>
            <w:color w:val="000000"/>
            <w:sz w:val="24"/>
            <w:szCs w:val="24"/>
            <w:lang w:val="id-ID"/>
          </w:rPr>
          <w:tag w:val="MENDELEY_CITATION_v3_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"/>
          <w:id w:val="1945487961"/>
          <w:placeholder>
            <w:docPart w:val="D71CF0D2E24A4B9FADB5EB73DA3D467C"/>
          </w:placeholder>
        </w:sdtPr>
        <w:sdtEndPr/>
        <w:sdtContent>
          <w:r w:rsidRPr="00DE1AA2">
            <w:rPr>
              <w:rFonts w:ascii="Cambria" w:eastAsia="Cambria" w:hAnsi="Cambria" w:cs="Cambria"/>
              <w:color w:val="000000"/>
              <w:sz w:val="24"/>
              <w:szCs w:val="24"/>
              <w:lang w:val="id-ID"/>
            </w:rPr>
            <w:t>(Barney, 1991)</w:t>
          </w:r>
        </w:sdtContent>
      </w:sdt>
      <w:r w:rsidRPr="00AB6194">
        <w:rPr>
          <w:rFonts w:ascii="Cambria" w:eastAsia="Cambria" w:hAnsi="Cambria" w:cs="Cambria"/>
          <w:color w:val="000000"/>
          <w:sz w:val="24"/>
          <w:szCs w:val="24"/>
          <w:lang w:val="id-ID"/>
        </w:rPr>
        <w:t xml:space="preserve">, financial literacy can be conceptualized as a strategic intangible resource that is valuable, rare, and difficult to imitate. Within management science, financial literacy provides the foundation for effective corporate governance, enabling MSME actors to distribute available funds toward organizational objectives. Financially literate owners enhance profitability, access credit more readily, and make optimal savings and investment decisions (Hakim, 2018; </w:t>
      </w:r>
      <w:sdt>
        <w:sdtPr>
          <w:rPr>
            <w:rFonts w:ascii="Cambria" w:eastAsia="Cambria" w:hAnsi="Cambria" w:cs="Cambria"/>
            <w:color w:val="000000"/>
            <w:sz w:val="24"/>
            <w:szCs w:val="24"/>
            <w:lang w:val="id-ID"/>
          </w:rPr>
          <w:tag w:val="MENDELEY_CITATION_v3_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"/>
          <w:id w:val="-1923711436"/>
          <w:placeholder>
            <w:docPart w:val="D71CF0D2E24A4B9FADB5EB73DA3D467C"/>
          </w:placeholder>
        </w:sdtPr>
        <w:sdtEndPr/>
        <w:sdtContent>
          <w:r w:rsidRPr="00DE1AA2">
            <w:rPr>
              <w:rFonts w:ascii="Cambria" w:eastAsia="Cambria" w:hAnsi="Cambria" w:cs="Cambria"/>
              <w:color w:val="000000"/>
              <w:sz w:val="24"/>
              <w:szCs w:val="24"/>
              <w:lang w:val="id-ID"/>
            </w:rPr>
            <w:t>Esiebugie et al., 2018; Nurmahadi et al., 2024)</w:t>
          </w:r>
        </w:sdtContent>
      </w:sdt>
      <w:r w:rsidRPr="00AB6194">
        <w:rPr>
          <w:rFonts w:ascii="Cambria" w:eastAsia="Cambria" w:hAnsi="Cambria" w:cs="Cambria"/>
          <w:color w:val="000000"/>
          <w:sz w:val="24"/>
          <w:szCs w:val="24"/>
          <w:lang w:val="id-ID"/>
        </w:rPr>
        <w:t xml:space="preserve">. Recent studies confirm that digital </w:t>
      </w:r>
      <w:r w:rsidRPr="00AB6194">
        <w:rPr>
          <w:rFonts w:ascii="Cambria" w:eastAsia="Cambria" w:hAnsi="Cambria" w:cs="Cambria"/>
          <w:color w:val="000000"/>
          <w:sz w:val="24"/>
          <w:szCs w:val="24"/>
          <w:lang w:val="id-ID"/>
        </w:rPr>
        <w:lastRenderedPageBreak/>
        <w:t xml:space="preserve">financial literacy significantly enhances firm performance, with digital finance serving as an effective mediator in shaping unique intangible assets </w:t>
      </w:r>
      <w:sdt>
        <w:sdtPr>
          <w:rPr>
            <w:rFonts w:ascii="Cambria" w:eastAsia="Cambria" w:hAnsi="Cambria" w:cs="Cambria"/>
            <w:bCs/>
            <w:color w:val="000000"/>
            <w:sz w:val="24"/>
            <w:szCs w:val="24"/>
            <w:lang w:val="id-ID"/>
          </w:rPr>
          <w:tag w:val="MENDELEY_CITATION_v3_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"/>
          <w:id w:val="681786195"/>
          <w:placeholder>
            <w:docPart w:val="D71CF0D2E24A4B9FADB5EB73DA3D467C"/>
          </w:placeholder>
        </w:sdtPr>
        <w:sdtEndPr/>
        <w:sdtContent>
          <w:r w:rsidRPr="00DE1AA2">
            <w:rPr>
              <w:rFonts w:ascii="Cambria" w:eastAsia="Cambria" w:hAnsi="Cambria" w:cs="Cambria"/>
              <w:bCs/>
              <w:color w:val="000000"/>
              <w:sz w:val="24"/>
              <w:szCs w:val="24"/>
              <w:lang w:val="id-ID"/>
            </w:rPr>
            <w:t>(Ratnawati et al., 2025)</w:t>
          </w:r>
        </w:sdtContent>
      </w:sdt>
      <w:r w:rsidRPr="00462F8E">
        <w:rPr>
          <w:rFonts w:ascii="Cambria" w:eastAsia="Cambria" w:hAnsi="Cambria" w:cs="Cambria"/>
          <w:bCs/>
          <w:color w:val="000000"/>
          <w:sz w:val="24"/>
          <w:szCs w:val="24"/>
          <w:lang w:val="id-ID"/>
        </w:rPr>
        <w:t>.</w:t>
      </w:r>
    </w:p>
    <w:p w:rsidR="005A7613" w:rsidRPr="00AB6194" w:rsidRDefault="00CB6AA0" w:rsidP="005A7613">
      <w:pPr>
        <w:ind w:firstLine="567"/>
        <w:jc w:val="both"/>
        <w:rPr>
          <w:rFonts w:ascii="Cambria" w:eastAsia="Cambria" w:hAnsi="Cambria" w:cs="Cambria"/>
          <w:color w:val="000000"/>
          <w:sz w:val="24"/>
          <w:szCs w:val="24"/>
          <w:lang w:val="id-ID"/>
        </w:rPr>
      </w:pPr>
      <w:r w:rsidRPr="00AB6194">
        <w:rPr>
          <w:rFonts w:ascii="Cambria" w:eastAsia="Cambria" w:hAnsi="Cambria" w:cs="Cambria"/>
          <w:color w:val="000000"/>
          <w:sz w:val="24"/>
          <w:szCs w:val="24"/>
          <w:lang w:val="id-ID"/>
        </w:rPr>
        <w:t>Based on the theoretical foundation and identified research gap, this study formulates the following hypothesis:</w:t>
      </w:r>
    </w:p>
    <w:p w:rsidR="00EC3D53" w:rsidRDefault="00CB6AA0" w:rsidP="005A7613">
      <w:pPr>
        <w:ind w:firstLine="567"/>
        <w:jc w:val="both"/>
        <w:rPr>
          <w:rFonts w:asciiTheme="minorHAnsi" w:hAnsiTheme="minorHAnsi"/>
          <w:sz w:val="24"/>
          <w:szCs w:val="24"/>
          <w:lang w:val="id-ID"/>
        </w:rPr>
      </w:pPr>
      <w:r w:rsidRPr="005A7613">
        <w:rPr>
          <w:rFonts w:ascii="Cambria" w:eastAsia="Cambria" w:hAnsi="Cambria" w:cs="Cambria"/>
          <w:b/>
          <w:bCs/>
          <w:color w:val="000000"/>
          <w:sz w:val="24"/>
          <w:szCs w:val="24"/>
          <w:lang w:val="id-ID"/>
        </w:rPr>
        <w:t>H1</w:t>
      </w:r>
      <w:r w:rsidRPr="00AB6194">
        <w:rPr>
          <w:rFonts w:ascii="Cambria" w:eastAsia="Cambria" w:hAnsi="Cambria" w:cs="Cambria"/>
          <w:color w:val="000000"/>
          <w:sz w:val="24"/>
          <w:szCs w:val="24"/>
          <w:lang w:val="id-ID"/>
        </w:rPr>
        <w:t>: Digital financial literacy has a positive and significant effect on MSME performance in East Java</w:t>
      </w:r>
      <w:r w:rsidR="005160DD" w:rsidRPr="00EC3D53">
        <w:rPr>
          <w:rFonts w:asciiTheme="minorHAnsi" w:hAnsiTheme="minorHAnsi"/>
          <w:sz w:val="24"/>
          <w:szCs w:val="24"/>
          <w:lang w:val="id-ID"/>
        </w:rPr>
        <w:t>.</w:t>
      </w:r>
    </w:p>
    <w:p w:rsidR="0079244D" w:rsidRPr="00BB2F40" w:rsidRDefault="00CB6AA0" w:rsidP="00594886">
      <w:pPr>
        <w:spacing w:before="240" w:after="120"/>
        <w:jc w:val="both"/>
        <w:rPr>
          <w:rFonts w:ascii="Cambria" w:eastAsia="Cambria" w:hAnsi="Cambria" w:cs="Cambria"/>
          <w:b/>
          <w:sz w:val="24"/>
          <w:szCs w:val="24"/>
        </w:rPr>
      </w:pPr>
      <w:r w:rsidRPr="00BB2F40">
        <w:rPr>
          <w:rFonts w:ascii="Cambria" w:eastAsia="Cambria" w:hAnsi="Cambria" w:cs="Cambria"/>
          <w:b/>
          <w:sz w:val="24"/>
          <w:szCs w:val="24"/>
        </w:rPr>
        <w:t>RESEARCH METHOD</w:t>
      </w:r>
      <w:r w:rsidR="00594886">
        <w:rPr>
          <w:rFonts w:ascii="Cambria" w:eastAsia="Cambria" w:hAnsi="Cambria" w:cs="Cambria"/>
          <w:b/>
          <w:sz w:val="24"/>
          <w:szCs w:val="24"/>
        </w:rPr>
        <w:t>S</w:t>
      </w:r>
      <w:r w:rsidRPr="00BB2F40">
        <w:rPr>
          <w:rFonts w:ascii="Cambria" w:eastAsia="Cambria" w:hAnsi="Cambria" w:cs="Cambria"/>
          <w:b/>
          <w:sz w:val="24"/>
          <w:szCs w:val="24"/>
        </w:rPr>
        <w:t xml:space="preserve"> </w:t>
      </w:r>
    </w:p>
    <w:p w:rsidR="005A7613" w:rsidRDefault="00CB6AA0" w:rsidP="00CB6AA0">
      <w:pPr>
        <w:spacing w:before="120" w:after="60"/>
        <w:jc w:val="both"/>
        <w:rPr>
          <w:rFonts w:ascii="Cambria" w:eastAsia="Cambria" w:hAnsi="Cambria" w:cs="Cambria"/>
          <w:b/>
          <w:bCs/>
          <w:color w:val="000000"/>
          <w:sz w:val="24"/>
          <w:szCs w:val="24"/>
          <w:lang w:val="id-ID"/>
        </w:rPr>
      </w:pPr>
      <w:r w:rsidRPr="00192DE7">
        <w:rPr>
          <w:rFonts w:ascii="Cambria" w:eastAsia="Cambria" w:hAnsi="Cambria" w:cs="Cambria"/>
          <w:b/>
          <w:bCs/>
          <w:color w:val="000000"/>
          <w:sz w:val="24"/>
          <w:szCs w:val="24"/>
          <w:lang w:val="id-ID"/>
        </w:rPr>
        <w:t>Research Design</w:t>
      </w:r>
    </w:p>
    <w:p w:rsidR="005A7613" w:rsidRDefault="00CB6AA0" w:rsidP="005A7613">
      <w:pPr>
        <w:ind w:firstLine="567"/>
        <w:jc w:val="both"/>
        <w:rPr>
          <w:rFonts w:ascii="Cambria" w:eastAsia="Cambria" w:hAnsi="Cambria" w:cs="Cambria"/>
          <w:color w:val="000000"/>
          <w:sz w:val="24"/>
          <w:szCs w:val="24"/>
          <w:lang w:val="id-ID"/>
        </w:rPr>
      </w:pPr>
      <w:r w:rsidRPr="00192DE7">
        <w:rPr>
          <w:rFonts w:ascii="Cambria" w:eastAsia="Cambria" w:hAnsi="Cambria" w:cs="Cambria"/>
          <w:color w:val="000000"/>
          <w:sz w:val="24"/>
          <w:szCs w:val="24"/>
          <w:lang w:val="id-ID"/>
        </w:rPr>
        <w:t>This research employs an explanatory, quantitative approach with a cross-sectional design. The study aims to explain causal relationships between variables through hypothesis testing.</w:t>
      </w:r>
    </w:p>
    <w:p w:rsidR="005A7613" w:rsidRDefault="00CB6AA0" w:rsidP="005A7613">
      <w:pPr>
        <w:spacing w:before="120" w:after="60"/>
        <w:jc w:val="both"/>
        <w:rPr>
          <w:rFonts w:ascii="Cambria" w:eastAsia="Cambria" w:hAnsi="Cambria" w:cs="Cambria"/>
          <w:b/>
          <w:bCs/>
          <w:color w:val="000000"/>
          <w:sz w:val="24"/>
          <w:szCs w:val="24"/>
          <w:lang w:val="id-ID"/>
        </w:rPr>
      </w:pPr>
      <w:r w:rsidRPr="00192DE7">
        <w:rPr>
          <w:rFonts w:ascii="Cambria" w:eastAsia="Cambria" w:hAnsi="Cambria" w:cs="Cambria"/>
          <w:b/>
          <w:bCs/>
          <w:color w:val="000000"/>
          <w:sz w:val="24"/>
          <w:szCs w:val="24"/>
          <w:lang w:val="id-ID"/>
        </w:rPr>
        <w:t>Population and Sample</w:t>
      </w:r>
    </w:p>
    <w:p w:rsidR="005A7613" w:rsidRDefault="00CB6AA0" w:rsidP="00CB6AA0">
      <w:pPr>
        <w:spacing w:before="60" w:after="60"/>
        <w:jc w:val="both"/>
        <w:rPr>
          <w:rFonts w:ascii="Cambria" w:eastAsia="Cambria" w:hAnsi="Cambria" w:cs="Cambria"/>
          <w:b/>
          <w:bCs/>
          <w:color w:val="000000"/>
          <w:sz w:val="24"/>
          <w:szCs w:val="24"/>
          <w:lang w:val="id-ID"/>
        </w:rPr>
      </w:pPr>
      <w:r w:rsidRPr="00192DE7">
        <w:rPr>
          <w:rFonts w:ascii="Cambria" w:eastAsia="Cambria" w:hAnsi="Cambria" w:cs="Cambria"/>
          <w:b/>
          <w:bCs/>
          <w:color w:val="000000"/>
          <w:sz w:val="24"/>
          <w:szCs w:val="24"/>
          <w:lang w:val="id-ID"/>
        </w:rPr>
        <w:t>Population</w:t>
      </w:r>
    </w:p>
    <w:p w:rsidR="005A7613" w:rsidRPr="00192DE7" w:rsidRDefault="00CB6AA0" w:rsidP="005A7613">
      <w:pPr>
        <w:ind w:firstLine="567"/>
        <w:jc w:val="both"/>
        <w:rPr>
          <w:rFonts w:ascii="Cambria" w:eastAsia="Cambria" w:hAnsi="Cambria" w:cs="Cambria"/>
          <w:color w:val="000000"/>
          <w:sz w:val="24"/>
          <w:szCs w:val="24"/>
          <w:lang w:val="id-ID"/>
        </w:rPr>
      </w:pPr>
      <w:r w:rsidRPr="00192DE7">
        <w:rPr>
          <w:rFonts w:ascii="Cambria" w:eastAsia="Cambria" w:hAnsi="Cambria" w:cs="Cambria"/>
          <w:color w:val="000000"/>
          <w:sz w:val="24"/>
          <w:szCs w:val="24"/>
          <w:lang w:val="id-ID"/>
        </w:rPr>
        <w:t>The population comprises all MSMEs in East Java Province, Indonesia, as reported by the Cooperatives and SMEs Office of East Java Province (2025).</w:t>
      </w:r>
    </w:p>
    <w:p w:rsidR="005A7613" w:rsidRDefault="00CB6AA0" w:rsidP="005A7613">
      <w:pPr>
        <w:spacing w:before="60" w:after="60"/>
        <w:jc w:val="both"/>
        <w:rPr>
          <w:rFonts w:ascii="Cambria" w:eastAsia="Cambria" w:hAnsi="Cambria" w:cs="Cambria"/>
          <w:b/>
          <w:bCs/>
          <w:color w:val="000000"/>
          <w:sz w:val="24"/>
          <w:szCs w:val="24"/>
          <w:lang w:val="id-ID"/>
        </w:rPr>
      </w:pPr>
      <w:r w:rsidRPr="00192DE7">
        <w:rPr>
          <w:rFonts w:ascii="Cambria" w:eastAsia="Cambria" w:hAnsi="Cambria" w:cs="Cambria"/>
          <w:b/>
          <w:bCs/>
          <w:color w:val="000000"/>
          <w:sz w:val="24"/>
          <w:szCs w:val="24"/>
          <w:lang w:val="id-ID"/>
        </w:rPr>
        <w:t>Sampling Technique</w:t>
      </w:r>
    </w:p>
    <w:p w:rsidR="005A7613" w:rsidRDefault="00CB6AA0" w:rsidP="005A7613">
      <w:pPr>
        <w:ind w:firstLine="567"/>
        <w:jc w:val="both"/>
        <w:rPr>
          <w:rFonts w:ascii="Cambria" w:eastAsia="Cambria" w:hAnsi="Cambria" w:cs="Cambria"/>
          <w:color w:val="000000"/>
          <w:sz w:val="24"/>
          <w:szCs w:val="24"/>
          <w:lang w:val="id-ID"/>
        </w:rPr>
      </w:pPr>
      <w:r w:rsidRPr="00192DE7">
        <w:rPr>
          <w:rFonts w:ascii="Cambria" w:eastAsia="Cambria" w:hAnsi="Cambria" w:cs="Cambria"/>
          <w:color w:val="000000"/>
          <w:sz w:val="24"/>
          <w:szCs w:val="24"/>
          <w:lang w:val="id-ID"/>
        </w:rPr>
        <w:t>The stratified random sampling technique was applied with the following procedure:</w:t>
      </w:r>
    </w:p>
    <w:p w:rsidR="005A7613" w:rsidRPr="00192DE7" w:rsidRDefault="00CB6AA0" w:rsidP="005A7613">
      <w:pPr>
        <w:spacing w:before="60" w:after="60"/>
        <w:jc w:val="center"/>
        <w:rPr>
          <w:rFonts w:ascii="Cambria" w:eastAsia="Cambria" w:hAnsi="Cambria" w:cs="Cambria"/>
          <w:color w:val="000000"/>
          <w:sz w:val="24"/>
          <w:szCs w:val="24"/>
          <w:lang w:val="id-ID"/>
        </w:rPr>
      </w:pPr>
      <w:r w:rsidRPr="00615072">
        <w:rPr>
          <w:rFonts w:ascii="Cambria" w:eastAsia="Cambria" w:hAnsi="Cambria" w:cs="Cambria"/>
          <w:b/>
          <w:bCs/>
          <w:color w:val="000000"/>
          <w:sz w:val="24"/>
          <w:szCs w:val="24"/>
          <w:lang w:val="id-ID"/>
        </w:rPr>
        <w:t>Table 1</w:t>
      </w:r>
      <w:r w:rsidR="000A6DB5">
        <w:rPr>
          <w:rFonts w:ascii="Cambria" w:eastAsia="Cambria" w:hAnsi="Cambria" w:cs="Cambria"/>
          <w:b/>
          <w:bCs/>
          <w:color w:val="000000"/>
          <w:sz w:val="24"/>
          <w:szCs w:val="24"/>
          <w:lang w:val="id-ID"/>
        </w:rPr>
        <w:t>.</w:t>
      </w:r>
      <w:r>
        <w:rPr>
          <w:rFonts w:ascii="Cambria" w:eastAsia="Cambria" w:hAnsi="Cambria" w:cs="Cambria"/>
          <w:color w:val="000000"/>
          <w:sz w:val="24"/>
          <w:szCs w:val="24"/>
          <w:lang w:val="id-ID"/>
        </w:rPr>
        <w:t xml:space="preserve"> </w:t>
      </w:r>
      <w:r w:rsidRPr="00192DE7">
        <w:rPr>
          <w:rFonts w:ascii="Cambria" w:eastAsia="Cambria" w:hAnsi="Cambria" w:cs="Cambria"/>
          <w:color w:val="000000"/>
          <w:sz w:val="24"/>
          <w:szCs w:val="24"/>
          <w:lang w:val="id-ID"/>
        </w:rPr>
        <w:t>Stratified Random Sampling Techniqu</w:t>
      </w:r>
      <w:r>
        <w:rPr>
          <w:rFonts w:ascii="Cambria" w:eastAsia="Cambria" w:hAnsi="Cambria" w:cs="Cambria"/>
          <w:color w:val="000000"/>
          <w:sz w:val="24"/>
          <w:szCs w:val="24"/>
          <w:lang w:val="id-ID"/>
        </w:rPr>
        <w:t>e</w:t>
      </w:r>
    </w:p>
    <w:tbl>
      <w:tblPr>
        <w:tblW w:w="0" w:type="auto"/>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017"/>
        <w:gridCol w:w="5362"/>
        <w:gridCol w:w="2039"/>
      </w:tblGrid>
      <w:tr w:rsidR="00460557" w:rsidTr="00CB6AA0">
        <w:trPr>
          <w:tblHeader/>
          <w:jc w:val="cent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rsidR="005A7613" w:rsidRPr="005A7613" w:rsidRDefault="00CB6AA0" w:rsidP="00846953">
            <w:pPr>
              <w:ind w:left="284"/>
              <w:jc w:val="both"/>
              <w:rPr>
                <w:rFonts w:ascii="Cambria" w:eastAsia="Cambria" w:hAnsi="Cambria" w:cs="Cambria"/>
                <w:b/>
                <w:bCs/>
                <w:color w:val="000000"/>
                <w:lang w:val="id-ID"/>
              </w:rPr>
            </w:pPr>
            <w:r w:rsidRPr="005A7613">
              <w:rPr>
                <w:rFonts w:ascii="Cambria" w:eastAsia="Cambria" w:hAnsi="Cambria" w:cs="Cambria"/>
                <w:b/>
                <w:bCs/>
                <w:color w:val="000000"/>
                <w:lang w:val="id-ID"/>
              </w:rPr>
              <w:t>Stage</w:t>
            </w:r>
          </w:p>
        </w:tc>
        <w:tc>
          <w:tcPr>
            <w:tcW w:w="5362" w:type="dxa"/>
            <w:tcBorders>
              <w:top w:val="single" w:sz="4" w:space="0" w:color="auto"/>
              <w:bottom w:val="single" w:sz="4" w:space="0" w:color="auto"/>
            </w:tcBorders>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b/>
                <w:bCs/>
                <w:color w:val="000000"/>
                <w:lang w:val="id-ID"/>
              </w:rPr>
            </w:pPr>
            <w:r w:rsidRPr="005A7613">
              <w:rPr>
                <w:rFonts w:ascii="Cambria" w:eastAsia="Cambria" w:hAnsi="Cambria" w:cs="Cambria"/>
                <w:b/>
                <w:bCs/>
                <w:color w:val="000000"/>
                <w:lang w:val="id-ID"/>
              </w:rPr>
              <w:t>Procedure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b/>
                <w:bCs/>
                <w:color w:val="000000"/>
                <w:lang w:val="id-ID"/>
              </w:rPr>
            </w:pPr>
            <w:r w:rsidRPr="005A7613">
              <w:rPr>
                <w:rFonts w:ascii="Cambria" w:eastAsia="Cambria" w:hAnsi="Cambria" w:cs="Cambria"/>
                <w:b/>
                <w:bCs/>
                <w:color w:val="000000"/>
                <w:lang w:val="id-ID"/>
              </w:rPr>
              <w:t>Outcome</w:t>
            </w:r>
          </w:p>
        </w:tc>
      </w:tr>
      <w:tr w:rsidR="00460557" w:rsidTr="00CB6AA0">
        <w:trPr>
          <w:jc w:val="center"/>
        </w:trPr>
        <w:tc>
          <w:tcPr>
            <w:tcW w:w="0" w:type="auto"/>
            <w:tcBorders>
              <w:top w:val="single" w:sz="4" w:space="0" w:color="auto"/>
            </w:tcBorders>
            <w:tcMar>
              <w:top w:w="150" w:type="dxa"/>
              <w:left w:w="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1</w:t>
            </w:r>
          </w:p>
        </w:tc>
        <w:tc>
          <w:tcPr>
            <w:tcW w:w="5362" w:type="dxa"/>
            <w:tcBorders>
              <w:top w:val="single" w:sz="4" w:space="0" w:color="auto"/>
            </w:tcBorders>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Group 38 districts/cities into 4 regions (Gerbangkertosusila, Mataraman, Tapal Kuda, Madura)</w:t>
            </w:r>
          </w:p>
        </w:tc>
        <w:tc>
          <w:tcPr>
            <w:tcW w:w="0" w:type="auto"/>
            <w:tcBorders>
              <w:top w:val="single" w:sz="4" w:space="0" w:color="auto"/>
            </w:tcBorders>
            <w:tcMar>
              <w:top w:w="150" w:type="dxa"/>
              <w:left w:w="240" w:type="dxa"/>
              <w:bottom w:w="150" w:type="dxa"/>
              <w:right w:w="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4 strata</w:t>
            </w:r>
          </w:p>
        </w:tc>
      </w:tr>
      <w:tr w:rsidR="00460557" w:rsidTr="00CB6AA0">
        <w:trPr>
          <w:jc w:val="center"/>
        </w:trPr>
        <w:tc>
          <w:tcPr>
            <w:tcW w:w="0" w:type="auto"/>
            <w:tcMar>
              <w:top w:w="150" w:type="dxa"/>
              <w:left w:w="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2</w:t>
            </w:r>
          </w:p>
        </w:tc>
        <w:tc>
          <w:tcPr>
            <w:tcW w:w="5362"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Random selection of 2-3 districts/cities per region</w:t>
            </w:r>
          </w:p>
        </w:tc>
        <w:tc>
          <w:tcPr>
            <w:tcW w:w="0" w:type="auto"/>
            <w:tcMar>
              <w:top w:w="150" w:type="dxa"/>
              <w:left w:w="240" w:type="dxa"/>
              <w:bottom w:w="150" w:type="dxa"/>
              <w:right w:w="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10 districts/cities</w:t>
            </w:r>
          </w:p>
        </w:tc>
      </w:tr>
      <w:tr w:rsidR="00460557" w:rsidTr="00CB6AA0">
        <w:trPr>
          <w:jc w:val="center"/>
        </w:trPr>
        <w:tc>
          <w:tcPr>
            <w:tcW w:w="0" w:type="auto"/>
            <w:tcMar>
              <w:top w:w="150" w:type="dxa"/>
              <w:left w:w="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3</w:t>
            </w:r>
          </w:p>
        </w:tc>
        <w:tc>
          <w:tcPr>
            <w:tcW w:w="5362"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Random selection of 10-11 MSMEs per district/city</w:t>
            </w:r>
          </w:p>
        </w:tc>
        <w:tc>
          <w:tcPr>
            <w:tcW w:w="0" w:type="auto"/>
            <w:tcMar>
              <w:top w:w="150" w:type="dxa"/>
              <w:left w:w="240" w:type="dxa"/>
              <w:bottom w:w="150" w:type="dxa"/>
              <w:right w:w="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105 respondents</w:t>
            </w:r>
          </w:p>
        </w:tc>
      </w:tr>
    </w:tbl>
    <w:p w:rsidR="005A7613" w:rsidRDefault="00CB6AA0" w:rsidP="00CB6AA0">
      <w:pPr>
        <w:spacing w:before="120" w:after="60"/>
        <w:jc w:val="both"/>
        <w:rPr>
          <w:rFonts w:ascii="Cambria" w:eastAsia="Cambria" w:hAnsi="Cambria" w:cs="Cambria"/>
          <w:b/>
          <w:bCs/>
          <w:color w:val="000000"/>
          <w:sz w:val="24"/>
          <w:szCs w:val="24"/>
          <w:lang w:val="id-ID"/>
        </w:rPr>
      </w:pPr>
      <w:r w:rsidRPr="00192DE7">
        <w:rPr>
          <w:rFonts w:ascii="Cambria" w:eastAsia="Cambria" w:hAnsi="Cambria" w:cs="Cambria"/>
          <w:b/>
          <w:bCs/>
          <w:color w:val="000000"/>
          <w:sz w:val="24"/>
          <w:szCs w:val="24"/>
          <w:lang w:val="id-ID"/>
        </w:rPr>
        <w:t>Sample Size Justification</w:t>
      </w:r>
    </w:p>
    <w:p w:rsidR="005A7613" w:rsidRDefault="00CB6AA0" w:rsidP="00CB6AA0">
      <w:pPr>
        <w:ind w:firstLine="567"/>
        <w:contextualSpacing/>
        <w:jc w:val="both"/>
        <w:rPr>
          <w:rFonts w:ascii="Cambria" w:eastAsia="Cambria" w:hAnsi="Cambria" w:cs="Cambria"/>
          <w:color w:val="000000"/>
          <w:sz w:val="24"/>
          <w:szCs w:val="24"/>
          <w:lang w:val="id-ID"/>
        </w:rPr>
      </w:pPr>
      <w:r w:rsidRPr="00192DE7">
        <w:rPr>
          <w:rFonts w:ascii="Cambria" w:eastAsia="Cambria" w:hAnsi="Cambria" w:cs="Cambria"/>
          <w:color w:val="000000"/>
          <w:sz w:val="24"/>
          <w:szCs w:val="24"/>
          <w:lang w:val="id-ID"/>
        </w:rPr>
        <w:t xml:space="preserve">Sample respondents are justified based on </w:t>
      </w:r>
      <w:sdt>
        <w:sdtPr>
          <w:rPr>
            <w:rFonts w:ascii="Cambria" w:eastAsia="Cambria" w:hAnsi="Cambria" w:cs="Cambria"/>
            <w:color w:val="000000"/>
            <w:sz w:val="24"/>
            <w:szCs w:val="24"/>
            <w:lang w:val="id-ID"/>
          </w:rPr>
          <w:tag w:val="MENDELEY_CITATION_v3_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"/>
          <w:id w:val="-2009207907"/>
          <w:placeholder>
            <w:docPart w:val="349A15EBB5F440CF8F5008C0BBAE3E9C"/>
          </w:placeholder>
        </w:sdtPr>
        <w:sdtEndPr/>
        <w:sdtContent>
          <w:r w:rsidRPr="00DE1AA2">
            <w:rPr>
              <w:rFonts w:ascii="Cambria" w:eastAsia="Cambria" w:hAnsi="Cambria" w:cs="Cambria"/>
              <w:color w:val="000000"/>
              <w:sz w:val="24"/>
              <w:szCs w:val="24"/>
              <w:lang w:val="id-ID"/>
            </w:rPr>
            <w:t>(Hair, Risher, et al., 2019)</w:t>
          </w:r>
        </w:sdtContent>
      </w:sdt>
      <w:r w:rsidRPr="00192DE7">
        <w:rPr>
          <w:rFonts w:ascii="Cambria" w:eastAsia="Cambria" w:hAnsi="Cambria" w:cs="Cambria"/>
          <w:color w:val="000000"/>
          <w:sz w:val="24"/>
          <w:szCs w:val="24"/>
          <w:lang w:val="id-ID"/>
        </w:rPr>
        <w:t>:</w:t>
      </w:r>
    </w:p>
    <w:p w:rsidR="005A7613" w:rsidRPr="00192DE7" w:rsidRDefault="00CB6AA0" w:rsidP="005A7613">
      <w:pPr>
        <w:spacing w:before="60" w:after="60"/>
        <w:jc w:val="center"/>
        <w:rPr>
          <w:rFonts w:ascii="Cambria" w:eastAsia="Cambria" w:hAnsi="Cambria" w:cs="Cambria"/>
          <w:color w:val="000000"/>
          <w:sz w:val="24"/>
          <w:szCs w:val="24"/>
          <w:lang w:val="id-ID"/>
        </w:rPr>
      </w:pPr>
      <w:r w:rsidRPr="00615072">
        <w:rPr>
          <w:rFonts w:ascii="Cambria" w:eastAsia="Cambria" w:hAnsi="Cambria" w:cs="Cambria"/>
          <w:b/>
          <w:bCs/>
          <w:color w:val="000000"/>
          <w:sz w:val="24"/>
          <w:szCs w:val="24"/>
          <w:lang w:val="id-ID"/>
        </w:rPr>
        <w:t>Table 2</w:t>
      </w:r>
      <w:r>
        <w:rPr>
          <w:rFonts w:ascii="Cambria" w:eastAsia="Cambria" w:hAnsi="Cambria" w:cs="Cambria"/>
          <w:color w:val="000000"/>
          <w:sz w:val="24"/>
          <w:szCs w:val="24"/>
          <w:lang w:val="id-ID"/>
        </w:rPr>
        <w:t xml:space="preserve">. </w:t>
      </w:r>
      <w:r w:rsidRPr="00192DE7">
        <w:rPr>
          <w:rFonts w:ascii="Cambria" w:eastAsia="Cambria" w:hAnsi="Cambria" w:cs="Cambria"/>
          <w:color w:val="000000"/>
          <w:sz w:val="24"/>
          <w:szCs w:val="24"/>
          <w:lang w:val="id-ID"/>
        </w:rPr>
        <w:t>Sample size justifi</w:t>
      </w:r>
      <w:r>
        <w:rPr>
          <w:rFonts w:ascii="Cambria" w:eastAsia="Cambria" w:hAnsi="Cambria" w:cs="Cambria"/>
          <w:color w:val="000000"/>
          <w:sz w:val="24"/>
          <w:szCs w:val="24"/>
          <w:lang w:val="id-ID"/>
        </w:rPr>
        <w:t>cation</w:t>
      </w:r>
    </w:p>
    <w:tbl>
      <w:tblPr>
        <w:tblW w:w="7938" w:type="dxa"/>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694"/>
        <w:gridCol w:w="1701"/>
        <w:gridCol w:w="3543"/>
      </w:tblGrid>
      <w:tr w:rsidR="00460557" w:rsidTr="00CB6AA0">
        <w:trPr>
          <w:tblHeader/>
          <w:jc w:val="center"/>
        </w:trPr>
        <w:tc>
          <w:tcPr>
            <w:tcW w:w="2694" w:type="dxa"/>
            <w:tcBorders>
              <w:top w:val="single" w:sz="4" w:space="0" w:color="auto"/>
              <w:bottom w:val="single" w:sz="4" w:space="0" w:color="auto"/>
            </w:tcBorders>
            <w:tcMar>
              <w:top w:w="150" w:type="dxa"/>
              <w:left w:w="0" w:type="dxa"/>
              <w:bottom w:w="150" w:type="dxa"/>
              <w:right w:w="240" w:type="dxa"/>
            </w:tcMar>
            <w:vAlign w:val="center"/>
            <w:hideMark/>
          </w:tcPr>
          <w:p w:rsidR="005A7613" w:rsidRPr="005A7613" w:rsidRDefault="00CB6AA0" w:rsidP="00846953">
            <w:pPr>
              <w:ind w:left="284"/>
              <w:jc w:val="both"/>
              <w:rPr>
                <w:rFonts w:ascii="Cambria" w:eastAsia="Cambria" w:hAnsi="Cambria" w:cs="Cambria"/>
                <w:b/>
                <w:bCs/>
                <w:color w:val="000000"/>
                <w:lang w:val="id-ID"/>
              </w:rPr>
            </w:pPr>
            <w:r w:rsidRPr="005A7613">
              <w:rPr>
                <w:rFonts w:ascii="Cambria" w:eastAsia="Cambria" w:hAnsi="Cambria" w:cs="Cambria"/>
                <w:b/>
                <w:bCs/>
                <w:color w:val="000000"/>
                <w:lang w:val="id-ID"/>
              </w:rPr>
              <w:t>Justification Basis</w:t>
            </w:r>
          </w:p>
        </w:tc>
        <w:tc>
          <w:tcPr>
            <w:tcW w:w="1701" w:type="dxa"/>
            <w:tcBorders>
              <w:top w:val="single" w:sz="4" w:space="0" w:color="auto"/>
              <w:bottom w:val="single" w:sz="4" w:space="0" w:color="auto"/>
            </w:tcBorders>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b/>
                <w:bCs/>
                <w:color w:val="000000"/>
                <w:lang w:val="id-ID"/>
              </w:rPr>
            </w:pPr>
            <w:r w:rsidRPr="005A7613">
              <w:rPr>
                <w:rFonts w:ascii="Cambria" w:eastAsia="Cambria" w:hAnsi="Cambria" w:cs="Cambria"/>
                <w:b/>
                <w:bCs/>
                <w:color w:val="000000"/>
                <w:lang w:val="id-ID"/>
              </w:rPr>
              <w:t>Value</w:t>
            </w:r>
          </w:p>
        </w:tc>
        <w:tc>
          <w:tcPr>
            <w:tcW w:w="3543" w:type="dxa"/>
            <w:tcBorders>
              <w:top w:val="single" w:sz="4" w:space="0" w:color="auto"/>
              <w:bottom w:val="single" w:sz="4" w:space="0" w:color="auto"/>
            </w:tcBorders>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b/>
                <w:bCs/>
                <w:color w:val="000000"/>
                <w:lang w:val="id-ID"/>
              </w:rPr>
            </w:pPr>
            <w:r w:rsidRPr="005A7613">
              <w:rPr>
                <w:rFonts w:ascii="Cambria" w:eastAsia="Cambria" w:hAnsi="Cambria" w:cs="Cambria"/>
                <w:b/>
                <w:bCs/>
                <w:color w:val="000000"/>
                <w:lang w:val="id-ID"/>
              </w:rPr>
              <w:t>Explanation</w:t>
            </w:r>
          </w:p>
        </w:tc>
      </w:tr>
      <w:tr w:rsidR="00460557" w:rsidTr="00CB6AA0">
        <w:trPr>
          <w:trHeight w:val="577"/>
          <w:jc w:val="center"/>
        </w:trPr>
        <w:tc>
          <w:tcPr>
            <w:tcW w:w="2694" w:type="dxa"/>
            <w:tcBorders>
              <w:top w:val="single" w:sz="4" w:space="0" w:color="auto"/>
            </w:tcBorders>
            <w:tcMar>
              <w:top w:w="150" w:type="dxa"/>
              <w:left w:w="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Cases-to-parameters ratio</w:t>
            </w:r>
          </w:p>
        </w:tc>
        <w:tc>
          <w:tcPr>
            <w:tcW w:w="1701" w:type="dxa"/>
            <w:tcBorders>
              <w:top w:val="single" w:sz="4" w:space="0" w:color="auto"/>
            </w:tcBorders>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5:1 - 10:1</w:t>
            </w:r>
          </w:p>
        </w:tc>
        <w:tc>
          <w:tcPr>
            <w:tcW w:w="3543" w:type="dxa"/>
            <w:tcBorders>
              <w:top w:val="single" w:sz="4" w:space="0" w:color="auto"/>
            </w:tcBorders>
            <w:tcMar>
              <w:top w:w="150" w:type="dxa"/>
              <w:left w:w="240" w:type="dxa"/>
              <w:bottom w:w="150" w:type="dxa"/>
              <w:right w:w="0" w:type="dxa"/>
            </w:tcMar>
            <w:vAlign w:val="center"/>
            <w:hideMark/>
          </w:tcPr>
          <w:p w:rsidR="005A7613" w:rsidRPr="005A7613" w:rsidRDefault="00CB6AA0" w:rsidP="00846953">
            <w:pPr>
              <w:ind w:left="47"/>
              <w:jc w:val="both"/>
              <w:rPr>
                <w:rFonts w:ascii="Cambria" w:eastAsia="Cambria" w:hAnsi="Cambria" w:cs="Cambria"/>
                <w:color w:val="000000"/>
                <w:lang w:val="id-ID"/>
              </w:rPr>
            </w:pPr>
            <w:r w:rsidRPr="005A7613">
              <w:rPr>
                <w:rFonts w:ascii="Cambria" w:eastAsia="Cambria" w:hAnsi="Cambria" w:cs="Cambria"/>
                <w:color w:val="000000"/>
                <w:lang w:val="id-ID"/>
              </w:rPr>
              <w:t>15 parameters × 7 = 105 (minimum)</w:t>
            </w:r>
          </w:p>
        </w:tc>
      </w:tr>
      <w:tr w:rsidR="00460557" w:rsidTr="00CB6AA0">
        <w:trPr>
          <w:trHeight w:val="533"/>
          <w:jc w:val="center"/>
        </w:trPr>
        <w:tc>
          <w:tcPr>
            <w:tcW w:w="2694" w:type="dxa"/>
            <w:tcMar>
              <w:top w:w="150" w:type="dxa"/>
              <w:left w:w="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Post-hoc power analysis</w:t>
            </w:r>
          </w:p>
        </w:tc>
        <w:tc>
          <w:tcPr>
            <w:tcW w:w="1701"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&gt; 0.80</w:t>
            </w:r>
          </w:p>
        </w:tc>
        <w:tc>
          <w:tcPr>
            <w:tcW w:w="3543" w:type="dxa"/>
            <w:tcMar>
              <w:top w:w="150" w:type="dxa"/>
              <w:left w:w="240" w:type="dxa"/>
              <w:bottom w:w="150" w:type="dxa"/>
              <w:right w:w="0" w:type="dxa"/>
            </w:tcMar>
            <w:vAlign w:val="center"/>
            <w:hideMark/>
          </w:tcPr>
          <w:p w:rsidR="005A7613" w:rsidRPr="005A7613" w:rsidRDefault="00CB6AA0" w:rsidP="00846953">
            <w:pPr>
              <w:ind w:left="189"/>
              <w:jc w:val="both"/>
              <w:rPr>
                <w:rFonts w:ascii="Cambria" w:eastAsia="Cambria" w:hAnsi="Cambria" w:cs="Cambria"/>
                <w:color w:val="000000"/>
                <w:lang w:val="id-ID"/>
              </w:rPr>
            </w:pPr>
            <w:r w:rsidRPr="005A7613">
              <w:rPr>
                <w:rFonts w:ascii="Cambria" w:eastAsia="Cambria" w:hAnsi="Cambria" w:cs="Cambria"/>
                <w:color w:val="000000"/>
                <w:lang w:val="id-ID"/>
              </w:rPr>
              <w:t>α = 0.05, medium effect size (0.15)</w:t>
            </w:r>
          </w:p>
        </w:tc>
      </w:tr>
      <w:tr w:rsidR="00460557" w:rsidTr="00CB6AA0">
        <w:trPr>
          <w:jc w:val="center"/>
        </w:trPr>
        <w:tc>
          <w:tcPr>
            <w:tcW w:w="2694" w:type="dxa"/>
            <w:tcMar>
              <w:top w:w="150" w:type="dxa"/>
              <w:left w:w="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Minimum for CB-SEM</w:t>
            </w:r>
          </w:p>
        </w:tc>
        <w:tc>
          <w:tcPr>
            <w:tcW w:w="1701"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100-150</w:t>
            </w:r>
          </w:p>
        </w:tc>
        <w:tc>
          <w:tcPr>
            <w:tcW w:w="3543" w:type="dxa"/>
            <w:tcMar>
              <w:top w:w="150" w:type="dxa"/>
              <w:left w:w="240" w:type="dxa"/>
              <w:bottom w:w="150" w:type="dxa"/>
              <w:right w:w="0" w:type="dxa"/>
            </w:tcMar>
            <w:vAlign w:val="center"/>
            <w:hideMark/>
          </w:tcPr>
          <w:p w:rsidR="005A7613" w:rsidRPr="005A7613" w:rsidRDefault="00CB6AA0" w:rsidP="00846953">
            <w:pPr>
              <w:ind w:left="189"/>
              <w:jc w:val="both"/>
              <w:rPr>
                <w:rFonts w:ascii="Cambria" w:eastAsia="Cambria" w:hAnsi="Cambria" w:cs="Cambria"/>
                <w:color w:val="000000"/>
                <w:lang w:val="id-ID"/>
              </w:rPr>
            </w:pPr>
            <w:r w:rsidRPr="005A7613">
              <w:rPr>
                <w:rFonts w:ascii="Cambria" w:eastAsia="Cambria" w:hAnsi="Cambria" w:cs="Cambria"/>
                <w:color w:val="000000"/>
                <w:lang w:val="id-ID"/>
              </w:rPr>
              <w:t>Model with 3-7 constructs</w:t>
            </w:r>
          </w:p>
        </w:tc>
      </w:tr>
    </w:tbl>
    <w:p w:rsidR="005A7613" w:rsidRDefault="005A7613" w:rsidP="005A7613">
      <w:pPr>
        <w:ind w:left="284"/>
        <w:jc w:val="center"/>
        <w:rPr>
          <w:rFonts w:ascii="Cambria" w:eastAsia="Cambria" w:hAnsi="Cambria" w:cs="Cambria"/>
          <w:b/>
          <w:bCs/>
          <w:color w:val="000000"/>
          <w:sz w:val="24"/>
          <w:szCs w:val="24"/>
          <w:lang w:val="id-ID"/>
        </w:rPr>
      </w:pPr>
    </w:p>
    <w:p w:rsidR="005A7613" w:rsidRDefault="005A7613" w:rsidP="005A7613">
      <w:pPr>
        <w:ind w:left="284"/>
        <w:jc w:val="center"/>
        <w:rPr>
          <w:rFonts w:ascii="Cambria" w:eastAsia="Cambria" w:hAnsi="Cambria" w:cs="Cambria"/>
          <w:b/>
          <w:bCs/>
          <w:color w:val="000000"/>
          <w:sz w:val="24"/>
          <w:szCs w:val="24"/>
          <w:lang w:val="id-ID"/>
        </w:rPr>
      </w:pPr>
    </w:p>
    <w:p w:rsidR="005A7613" w:rsidRDefault="005A7613" w:rsidP="005A7613">
      <w:pPr>
        <w:ind w:left="284"/>
        <w:jc w:val="center"/>
        <w:rPr>
          <w:rFonts w:ascii="Cambria" w:eastAsia="Cambria" w:hAnsi="Cambria" w:cs="Cambria"/>
          <w:b/>
          <w:bCs/>
          <w:color w:val="000000"/>
          <w:sz w:val="24"/>
          <w:szCs w:val="24"/>
          <w:lang w:val="id-ID"/>
        </w:rPr>
      </w:pPr>
    </w:p>
    <w:p w:rsidR="005A7613" w:rsidRPr="00192DE7" w:rsidRDefault="00CB6AA0" w:rsidP="005A7613">
      <w:pPr>
        <w:spacing w:before="60" w:after="60"/>
        <w:ind w:left="284"/>
        <w:jc w:val="center"/>
        <w:rPr>
          <w:rFonts w:ascii="Cambria" w:eastAsia="Cambria" w:hAnsi="Cambria" w:cs="Cambria"/>
          <w:color w:val="000000"/>
          <w:sz w:val="24"/>
          <w:szCs w:val="24"/>
          <w:lang w:val="id-ID"/>
        </w:rPr>
      </w:pPr>
      <w:r w:rsidRPr="00192DE7">
        <w:rPr>
          <w:rFonts w:ascii="Cambria" w:eastAsia="Cambria" w:hAnsi="Cambria" w:cs="Cambria"/>
          <w:b/>
          <w:bCs/>
          <w:color w:val="000000"/>
          <w:sz w:val="24"/>
          <w:szCs w:val="24"/>
          <w:lang w:val="id-ID"/>
        </w:rPr>
        <w:lastRenderedPageBreak/>
        <w:t xml:space="preserve">Table </w:t>
      </w:r>
      <w:r>
        <w:rPr>
          <w:rFonts w:ascii="Cambria" w:eastAsia="Cambria" w:hAnsi="Cambria" w:cs="Cambria"/>
          <w:b/>
          <w:bCs/>
          <w:color w:val="000000"/>
          <w:sz w:val="24"/>
          <w:szCs w:val="24"/>
          <w:lang w:val="id-ID"/>
        </w:rPr>
        <w:t>3.</w:t>
      </w:r>
      <w:r w:rsidRPr="00192DE7">
        <w:rPr>
          <w:rFonts w:ascii="Cambria" w:eastAsia="Cambria" w:hAnsi="Cambria" w:cs="Cambria"/>
          <w:color w:val="000000"/>
          <w:sz w:val="24"/>
          <w:szCs w:val="24"/>
          <w:lang w:val="id-ID"/>
        </w:rPr>
        <w:t> Sample Distribution by Region</w:t>
      </w:r>
    </w:p>
    <w:tbl>
      <w:tblPr>
        <w:tblW w:w="6916" w:type="dxa"/>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81"/>
        <w:gridCol w:w="3052"/>
        <w:gridCol w:w="1583"/>
      </w:tblGrid>
      <w:tr w:rsidR="00460557" w:rsidTr="00CB6AA0">
        <w:trPr>
          <w:tblHeader/>
          <w:jc w:val="center"/>
        </w:trPr>
        <w:tc>
          <w:tcPr>
            <w:tcW w:w="2281" w:type="dxa"/>
            <w:tcBorders>
              <w:top w:val="single" w:sz="4" w:space="0" w:color="auto"/>
              <w:bottom w:val="single" w:sz="4" w:space="0" w:color="auto"/>
            </w:tcBorders>
            <w:tcMar>
              <w:top w:w="150" w:type="dxa"/>
              <w:left w:w="0" w:type="dxa"/>
              <w:bottom w:w="150" w:type="dxa"/>
              <w:right w:w="240" w:type="dxa"/>
            </w:tcMar>
            <w:vAlign w:val="center"/>
            <w:hideMark/>
          </w:tcPr>
          <w:p w:rsidR="005A7613" w:rsidRPr="005A7613" w:rsidRDefault="00CB6AA0" w:rsidP="00846953">
            <w:pPr>
              <w:ind w:left="284"/>
              <w:jc w:val="both"/>
              <w:rPr>
                <w:rFonts w:ascii="Cambria" w:eastAsia="Cambria" w:hAnsi="Cambria" w:cs="Cambria"/>
                <w:b/>
                <w:bCs/>
                <w:color w:val="000000"/>
                <w:lang w:val="id-ID"/>
              </w:rPr>
            </w:pPr>
            <w:r w:rsidRPr="005A7613">
              <w:rPr>
                <w:rFonts w:ascii="Cambria" w:eastAsia="Cambria" w:hAnsi="Cambria" w:cs="Cambria"/>
                <w:b/>
                <w:bCs/>
                <w:color w:val="000000"/>
                <w:lang w:val="id-ID"/>
              </w:rPr>
              <w:t>Region</w:t>
            </w:r>
          </w:p>
        </w:tc>
        <w:tc>
          <w:tcPr>
            <w:tcW w:w="3052" w:type="dxa"/>
            <w:tcBorders>
              <w:top w:val="single" w:sz="4" w:space="0" w:color="auto"/>
              <w:bottom w:val="single" w:sz="4" w:space="0" w:color="auto"/>
            </w:tcBorders>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b/>
                <w:bCs/>
                <w:color w:val="000000"/>
                <w:lang w:val="id-ID"/>
              </w:rPr>
            </w:pPr>
            <w:r w:rsidRPr="005A7613">
              <w:rPr>
                <w:rFonts w:ascii="Cambria" w:eastAsia="Cambria" w:hAnsi="Cambria" w:cs="Cambria"/>
                <w:b/>
                <w:bCs/>
                <w:color w:val="000000"/>
                <w:lang w:val="id-ID"/>
              </w:rPr>
              <w:t>Districts/Cities</w:t>
            </w:r>
          </w:p>
        </w:tc>
        <w:tc>
          <w:tcPr>
            <w:tcW w:w="1583" w:type="dxa"/>
            <w:tcBorders>
              <w:top w:val="single" w:sz="4" w:space="0" w:color="auto"/>
              <w:bottom w:val="single" w:sz="4" w:space="0" w:color="auto"/>
            </w:tcBorders>
            <w:tcMar>
              <w:top w:w="150" w:type="dxa"/>
              <w:left w:w="240" w:type="dxa"/>
              <w:bottom w:w="150" w:type="dxa"/>
              <w:right w:w="240" w:type="dxa"/>
            </w:tcMar>
            <w:vAlign w:val="center"/>
            <w:hideMark/>
          </w:tcPr>
          <w:p w:rsidR="005A7613" w:rsidRPr="005A7613" w:rsidRDefault="00CB6AA0" w:rsidP="005A7613">
            <w:pPr>
              <w:jc w:val="center"/>
              <w:rPr>
                <w:rFonts w:ascii="Cambria" w:eastAsia="Cambria" w:hAnsi="Cambria" w:cs="Cambria"/>
                <w:b/>
                <w:bCs/>
                <w:color w:val="000000"/>
                <w:lang w:val="id-ID"/>
              </w:rPr>
            </w:pPr>
            <w:r w:rsidRPr="005A7613">
              <w:rPr>
                <w:rFonts w:ascii="Cambria" w:eastAsia="Cambria" w:hAnsi="Cambria" w:cs="Cambria"/>
                <w:b/>
                <w:bCs/>
                <w:color w:val="000000"/>
                <w:lang w:val="id-ID"/>
              </w:rPr>
              <w:t>Sample Size</w:t>
            </w:r>
          </w:p>
        </w:tc>
      </w:tr>
      <w:tr w:rsidR="00460557" w:rsidTr="00CB6AA0">
        <w:trPr>
          <w:jc w:val="center"/>
        </w:trPr>
        <w:tc>
          <w:tcPr>
            <w:tcW w:w="2281" w:type="dxa"/>
            <w:tcBorders>
              <w:top w:val="single" w:sz="4" w:space="0" w:color="auto"/>
            </w:tcBorders>
            <w:tcMar>
              <w:top w:w="150" w:type="dxa"/>
              <w:left w:w="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Gerbangkertosusila</w:t>
            </w:r>
          </w:p>
        </w:tc>
        <w:tc>
          <w:tcPr>
            <w:tcW w:w="3052" w:type="dxa"/>
            <w:tcBorders>
              <w:top w:val="single" w:sz="4" w:space="0" w:color="auto"/>
            </w:tcBorders>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Surabaya, Sidoarjo, Gresik</w:t>
            </w:r>
          </w:p>
        </w:tc>
        <w:tc>
          <w:tcPr>
            <w:tcW w:w="1583" w:type="dxa"/>
            <w:tcBorders>
              <w:top w:val="single" w:sz="4" w:space="0" w:color="auto"/>
            </w:tcBorders>
            <w:tcMar>
              <w:top w:w="150" w:type="dxa"/>
              <w:left w:w="240" w:type="dxa"/>
              <w:bottom w:w="150" w:type="dxa"/>
              <w:right w:w="0" w:type="dxa"/>
            </w:tcMar>
            <w:vAlign w:val="center"/>
            <w:hideMark/>
          </w:tcPr>
          <w:p w:rsidR="005A7613" w:rsidRPr="005A7613" w:rsidRDefault="00CB6AA0" w:rsidP="005A7613">
            <w:pPr>
              <w:ind w:left="284"/>
              <w:rPr>
                <w:rFonts w:ascii="Cambria" w:eastAsia="Cambria" w:hAnsi="Cambria" w:cs="Cambria"/>
                <w:color w:val="000000"/>
                <w:lang w:val="id-ID"/>
              </w:rPr>
            </w:pPr>
            <w:r w:rsidRPr="005A7613">
              <w:rPr>
                <w:rFonts w:ascii="Cambria" w:eastAsia="Cambria" w:hAnsi="Cambria" w:cs="Cambria"/>
                <w:color w:val="000000"/>
                <w:lang w:val="id-ID"/>
              </w:rPr>
              <w:t>30</w:t>
            </w:r>
          </w:p>
        </w:tc>
      </w:tr>
      <w:tr w:rsidR="00460557" w:rsidTr="00CB6AA0">
        <w:trPr>
          <w:jc w:val="center"/>
        </w:trPr>
        <w:tc>
          <w:tcPr>
            <w:tcW w:w="2281" w:type="dxa"/>
            <w:tcMar>
              <w:top w:w="150" w:type="dxa"/>
              <w:left w:w="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Mataraman</w:t>
            </w:r>
          </w:p>
        </w:tc>
        <w:tc>
          <w:tcPr>
            <w:tcW w:w="3052"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Malang, Kediri, Madiun</w:t>
            </w:r>
          </w:p>
        </w:tc>
        <w:tc>
          <w:tcPr>
            <w:tcW w:w="1583" w:type="dxa"/>
            <w:tcMar>
              <w:top w:w="150" w:type="dxa"/>
              <w:left w:w="240" w:type="dxa"/>
              <w:bottom w:w="150" w:type="dxa"/>
              <w:right w:w="0" w:type="dxa"/>
            </w:tcMar>
            <w:vAlign w:val="center"/>
            <w:hideMark/>
          </w:tcPr>
          <w:p w:rsidR="005A7613" w:rsidRPr="005A7613" w:rsidRDefault="00CB6AA0" w:rsidP="005A7613">
            <w:pPr>
              <w:ind w:left="284"/>
              <w:rPr>
                <w:rFonts w:ascii="Cambria" w:eastAsia="Cambria" w:hAnsi="Cambria" w:cs="Cambria"/>
                <w:color w:val="000000"/>
                <w:lang w:val="id-ID"/>
              </w:rPr>
            </w:pPr>
            <w:r w:rsidRPr="005A7613">
              <w:rPr>
                <w:rFonts w:ascii="Cambria" w:eastAsia="Cambria" w:hAnsi="Cambria" w:cs="Cambria"/>
                <w:color w:val="000000"/>
                <w:lang w:val="id-ID"/>
              </w:rPr>
              <w:t>30</w:t>
            </w:r>
          </w:p>
        </w:tc>
      </w:tr>
      <w:tr w:rsidR="00460557" w:rsidTr="00CB6AA0">
        <w:trPr>
          <w:jc w:val="center"/>
        </w:trPr>
        <w:tc>
          <w:tcPr>
            <w:tcW w:w="2281" w:type="dxa"/>
            <w:tcMar>
              <w:top w:w="150" w:type="dxa"/>
              <w:left w:w="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Tapal Kuda</w:t>
            </w:r>
          </w:p>
        </w:tc>
        <w:tc>
          <w:tcPr>
            <w:tcW w:w="3052"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Jember, Banyuwangi</w:t>
            </w:r>
          </w:p>
        </w:tc>
        <w:tc>
          <w:tcPr>
            <w:tcW w:w="1583" w:type="dxa"/>
            <w:tcMar>
              <w:top w:w="150" w:type="dxa"/>
              <w:left w:w="240" w:type="dxa"/>
              <w:bottom w:w="150" w:type="dxa"/>
              <w:right w:w="0" w:type="dxa"/>
            </w:tcMar>
            <w:vAlign w:val="center"/>
            <w:hideMark/>
          </w:tcPr>
          <w:p w:rsidR="005A7613" w:rsidRPr="005A7613" w:rsidRDefault="00CB6AA0" w:rsidP="005A7613">
            <w:pPr>
              <w:ind w:left="284"/>
              <w:rPr>
                <w:rFonts w:ascii="Cambria" w:eastAsia="Cambria" w:hAnsi="Cambria" w:cs="Cambria"/>
                <w:color w:val="000000"/>
                <w:lang w:val="id-ID"/>
              </w:rPr>
            </w:pPr>
            <w:r w:rsidRPr="005A7613">
              <w:rPr>
                <w:rFonts w:ascii="Cambria" w:eastAsia="Cambria" w:hAnsi="Cambria" w:cs="Cambria"/>
                <w:color w:val="000000"/>
                <w:lang w:val="id-ID"/>
              </w:rPr>
              <w:t>20</w:t>
            </w:r>
          </w:p>
        </w:tc>
      </w:tr>
      <w:tr w:rsidR="00460557" w:rsidTr="00CB6AA0">
        <w:trPr>
          <w:jc w:val="center"/>
        </w:trPr>
        <w:tc>
          <w:tcPr>
            <w:tcW w:w="2281" w:type="dxa"/>
            <w:tcMar>
              <w:top w:w="150" w:type="dxa"/>
              <w:left w:w="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Madura</w:t>
            </w:r>
          </w:p>
        </w:tc>
        <w:tc>
          <w:tcPr>
            <w:tcW w:w="3052"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Bangkalan, Pamekasan</w:t>
            </w:r>
          </w:p>
        </w:tc>
        <w:tc>
          <w:tcPr>
            <w:tcW w:w="1583" w:type="dxa"/>
            <w:tcMar>
              <w:top w:w="150" w:type="dxa"/>
              <w:left w:w="240" w:type="dxa"/>
              <w:bottom w:w="150" w:type="dxa"/>
              <w:right w:w="0" w:type="dxa"/>
            </w:tcMar>
            <w:vAlign w:val="center"/>
            <w:hideMark/>
          </w:tcPr>
          <w:p w:rsidR="005A7613" w:rsidRPr="005A7613" w:rsidRDefault="00CB6AA0" w:rsidP="005A7613">
            <w:pPr>
              <w:ind w:left="284"/>
              <w:rPr>
                <w:rFonts w:ascii="Cambria" w:eastAsia="Cambria" w:hAnsi="Cambria" w:cs="Cambria"/>
                <w:color w:val="000000"/>
                <w:lang w:val="id-ID"/>
              </w:rPr>
            </w:pPr>
            <w:r w:rsidRPr="005A7613">
              <w:rPr>
                <w:rFonts w:ascii="Cambria" w:eastAsia="Cambria" w:hAnsi="Cambria" w:cs="Cambria"/>
                <w:color w:val="000000"/>
                <w:lang w:val="id-ID"/>
              </w:rPr>
              <w:t>15</w:t>
            </w:r>
          </w:p>
        </w:tc>
      </w:tr>
      <w:tr w:rsidR="00460557" w:rsidTr="00CB6AA0">
        <w:trPr>
          <w:jc w:val="center"/>
        </w:trPr>
        <w:tc>
          <w:tcPr>
            <w:tcW w:w="2281" w:type="dxa"/>
            <w:tcMar>
              <w:top w:w="150" w:type="dxa"/>
              <w:left w:w="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Others</w:t>
            </w:r>
          </w:p>
        </w:tc>
        <w:tc>
          <w:tcPr>
            <w:tcW w:w="3052"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Mojokerto, Pasuruan</w:t>
            </w:r>
          </w:p>
        </w:tc>
        <w:tc>
          <w:tcPr>
            <w:tcW w:w="1583" w:type="dxa"/>
            <w:tcMar>
              <w:top w:w="150" w:type="dxa"/>
              <w:left w:w="240" w:type="dxa"/>
              <w:bottom w:w="150" w:type="dxa"/>
              <w:right w:w="0" w:type="dxa"/>
            </w:tcMar>
            <w:vAlign w:val="center"/>
            <w:hideMark/>
          </w:tcPr>
          <w:p w:rsidR="005A7613" w:rsidRPr="005A7613" w:rsidRDefault="00CB6AA0" w:rsidP="005A7613">
            <w:pPr>
              <w:ind w:left="284"/>
              <w:rPr>
                <w:rFonts w:ascii="Cambria" w:eastAsia="Cambria" w:hAnsi="Cambria" w:cs="Cambria"/>
                <w:color w:val="000000"/>
                <w:lang w:val="id-ID"/>
              </w:rPr>
            </w:pPr>
            <w:r w:rsidRPr="005A7613">
              <w:rPr>
                <w:rFonts w:ascii="Cambria" w:eastAsia="Cambria" w:hAnsi="Cambria" w:cs="Cambria"/>
                <w:color w:val="000000"/>
                <w:lang w:val="id-ID"/>
              </w:rPr>
              <w:t>10</w:t>
            </w:r>
          </w:p>
        </w:tc>
      </w:tr>
      <w:tr w:rsidR="00460557" w:rsidTr="00CB6AA0">
        <w:trPr>
          <w:jc w:val="center"/>
        </w:trPr>
        <w:tc>
          <w:tcPr>
            <w:tcW w:w="2281" w:type="dxa"/>
            <w:tcMar>
              <w:top w:w="150" w:type="dxa"/>
              <w:left w:w="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b/>
                <w:bCs/>
                <w:color w:val="000000"/>
                <w:lang w:val="id-ID"/>
              </w:rPr>
              <w:t>Total</w:t>
            </w:r>
          </w:p>
        </w:tc>
        <w:tc>
          <w:tcPr>
            <w:tcW w:w="3052"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b/>
                <w:bCs/>
                <w:color w:val="000000"/>
                <w:lang w:val="id-ID"/>
              </w:rPr>
              <w:t>10 regions</w:t>
            </w:r>
          </w:p>
        </w:tc>
        <w:tc>
          <w:tcPr>
            <w:tcW w:w="1583" w:type="dxa"/>
            <w:tcMar>
              <w:top w:w="150" w:type="dxa"/>
              <w:left w:w="240" w:type="dxa"/>
              <w:bottom w:w="150" w:type="dxa"/>
              <w:right w:w="0" w:type="dxa"/>
            </w:tcMar>
            <w:vAlign w:val="center"/>
            <w:hideMark/>
          </w:tcPr>
          <w:p w:rsidR="005A7613" w:rsidRPr="005A7613" w:rsidRDefault="00CB6AA0" w:rsidP="005A7613">
            <w:pPr>
              <w:ind w:left="284"/>
              <w:rPr>
                <w:rFonts w:ascii="Cambria" w:eastAsia="Cambria" w:hAnsi="Cambria" w:cs="Cambria"/>
                <w:color w:val="000000"/>
                <w:lang w:val="id-ID"/>
              </w:rPr>
            </w:pPr>
            <w:r w:rsidRPr="005A7613">
              <w:rPr>
                <w:rFonts w:ascii="Cambria" w:eastAsia="Cambria" w:hAnsi="Cambria" w:cs="Cambria"/>
                <w:b/>
                <w:bCs/>
                <w:color w:val="000000"/>
                <w:lang w:val="id-ID"/>
              </w:rPr>
              <w:t>105</w:t>
            </w:r>
          </w:p>
        </w:tc>
      </w:tr>
    </w:tbl>
    <w:p w:rsidR="005A7613" w:rsidRDefault="00CB6AA0" w:rsidP="00CB6AA0">
      <w:pPr>
        <w:spacing w:before="120" w:after="60"/>
        <w:jc w:val="both"/>
        <w:rPr>
          <w:rFonts w:ascii="Cambria" w:eastAsia="Cambria" w:hAnsi="Cambria" w:cs="Cambria"/>
          <w:b/>
          <w:bCs/>
          <w:color w:val="000000"/>
          <w:sz w:val="24"/>
          <w:szCs w:val="24"/>
          <w:lang w:val="id-ID"/>
        </w:rPr>
      </w:pPr>
      <w:r w:rsidRPr="00192DE7">
        <w:rPr>
          <w:rFonts w:ascii="Cambria" w:eastAsia="Cambria" w:hAnsi="Cambria" w:cs="Cambria"/>
          <w:b/>
          <w:bCs/>
          <w:color w:val="000000"/>
          <w:sz w:val="24"/>
          <w:szCs w:val="24"/>
          <w:lang w:val="id-ID"/>
        </w:rPr>
        <w:t>Operational Definitions</w:t>
      </w:r>
    </w:p>
    <w:p w:rsidR="005A7613" w:rsidRPr="00192DE7" w:rsidRDefault="00CB6AA0" w:rsidP="005A7613">
      <w:pPr>
        <w:spacing w:before="60" w:after="60"/>
        <w:ind w:left="284"/>
        <w:jc w:val="center"/>
        <w:rPr>
          <w:rFonts w:ascii="Cambria" w:eastAsia="Cambria" w:hAnsi="Cambria" w:cs="Cambria"/>
          <w:color w:val="000000"/>
          <w:sz w:val="24"/>
          <w:szCs w:val="24"/>
          <w:lang w:val="id-ID"/>
        </w:rPr>
      </w:pPr>
      <w:r w:rsidRPr="00192DE7">
        <w:rPr>
          <w:rFonts w:ascii="Cambria" w:eastAsia="Cambria" w:hAnsi="Cambria" w:cs="Cambria"/>
          <w:b/>
          <w:bCs/>
          <w:color w:val="000000"/>
          <w:sz w:val="24"/>
          <w:szCs w:val="24"/>
          <w:lang w:val="id-ID"/>
        </w:rPr>
        <w:t xml:space="preserve">Table </w:t>
      </w:r>
      <w:r>
        <w:rPr>
          <w:rFonts w:ascii="Cambria" w:eastAsia="Cambria" w:hAnsi="Cambria" w:cs="Cambria"/>
          <w:b/>
          <w:bCs/>
          <w:color w:val="000000"/>
          <w:sz w:val="24"/>
          <w:szCs w:val="24"/>
          <w:lang w:val="id-ID"/>
        </w:rPr>
        <w:t>4.</w:t>
      </w:r>
      <w:r w:rsidRPr="00192DE7">
        <w:rPr>
          <w:rFonts w:ascii="Cambria" w:eastAsia="Cambria" w:hAnsi="Cambria" w:cs="Cambria"/>
          <w:color w:val="000000"/>
          <w:sz w:val="24"/>
          <w:szCs w:val="24"/>
          <w:lang w:val="id-ID"/>
        </w:rPr>
        <w:t> Operationalization of Financial Literacy (Variable X)</w:t>
      </w:r>
    </w:p>
    <w:tbl>
      <w:tblPr>
        <w:tblW w:w="0" w:type="auto"/>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570"/>
        <w:gridCol w:w="1219"/>
        <w:gridCol w:w="3590"/>
        <w:gridCol w:w="2353"/>
      </w:tblGrid>
      <w:tr w:rsidR="00460557" w:rsidTr="003A6535">
        <w:trPr>
          <w:tblHeader/>
          <w:jc w:val="center"/>
        </w:trPr>
        <w:tc>
          <w:tcPr>
            <w:tcW w:w="1570" w:type="dxa"/>
            <w:tcBorders>
              <w:top w:val="single" w:sz="4" w:space="0" w:color="auto"/>
              <w:bottom w:val="single" w:sz="4" w:space="0" w:color="auto"/>
            </w:tcBorders>
            <w:tcMar>
              <w:top w:w="150" w:type="dxa"/>
              <w:left w:w="0" w:type="dxa"/>
              <w:bottom w:w="150" w:type="dxa"/>
              <w:right w:w="240" w:type="dxa"/>
            </w:tcMar>
            <w:vAlign w:val="center"/>
            <w:hideMark/>
          </w:tcPr>
          <w:p w:rsidR="005A7613" w:rsidRPr="005A7613" w:rsidRDefault="00CB6AA0" w:rsidP="005A7613">
            <w:pPr>
              <w:ind w:left="284"/>
              <w:jc w:val="center"/>
              <w:rPr>
                <w:rFonts w:ascii="Cambria" w:eastAsia="Cambria" w:hAnsi="Cambria" w:cs="Cambria"/>
                <w:b/>
                <w:bCs/>
                <w:color w:val="000000"/>
                <w:lang w:val="id-ID"/>
              </w:rPr>
            </w:pPr>
            <w:r w:rsidRPr="005A7613">
              <w:rPr>
                <w:rFonts w:ascii="Cambria" w:eastAsia="Cambria" w:hAnsi="Cambria" w:cs="Cambria"/>
                <w:b/>
                <w:bCs/>
                <w:color w:val="000000"/>
                <w:lang w:val="id-ID"/>
              </w:rPr>
              <w:t>Indicator</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b/>
                <w:bCs/>
                <w:color w:val="000000"/>
                <w:lang w:val="id-ID"/>
              </w:rPr>
            </w:pPr>
            <w:r w:rsidRPr="005A7613">
              <w:rPr>
                <w:rFonts w:ascii="Cambria" w:eastAsia="Cambria" w:hAnsi="Cambria" w:cs="Cambria"/>
                <w:b/>
                <w:bCs/>
                <w:color w:val="000000"/>
                <w:lang w:val="id-ID"/>
              </w:rPr>
              <w:t>Code</w:t>
            </w:r>
          </w:p>
        </w:tc>
        <w:tc>
          <w:tcPr>
            <w:tcW w:w="3590" w:type="dxa"/>
            <w:tcBorders>
              <w:top w:val="single" w:sz="4" w:space="0" w:color="auto"/>
              <w:bottom w:val="single" w:sz="4" w:space="0" w:color="auto"/>
            </w:tcBorders>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b/>
                <w:bCs/>
                <w:color w:val="000000"/>
                <w:lang w:val="id-ID"/>
              </w:rPr>
            </w:pPr>
            <w:r w:rsidRPr="005A7613">
              <w:rPr>
                <w:rFonts w:ascii="Cambria" w:eastAsia="Cambria" w:hAnsi="Cambria" w:cs="Cambria"/>
                <w:b/>
                <w:bCs/>
                <w:color w:val="000000"/>
                <w:lang w:val="id-ID"/>
              </w:rPr>
              <w:t>Statement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b/>
                <w:bCs/>
                <w:color w:val="000000"/>
                <w:lang w:val="id-ID"/>
              </w:rPr>
            </w:pPr>
            <w:r w:rsidRPr="005A7613">
              <w:rPr>
                <w:rFonts w:ascii="Cambria" w:eastAsia="Cambria" w:hAnsi="Cambria" w:cs="Cambria"/>
                <w:b/>
                <w:bCs/>
                <w:color w:val="000000"/>
                <w:lang w:val="id-ID"/>
              </w:rPr>
              <w:t>Source</w:t>
            </w:r>
          </w:p>
        </w:tc>
      </w:tr>
      <w:tr w:rsidR="00460557" w:rsidTr="005A7613">
        <w:trPr>
          <w:jc w:val="center"/>
        </w:trPr>
        <w:tc>
          <w:tcPr>
            <w:tcW w:w="1570" w:type="dxa"/>
            <w:vMerge w:val="restart"/>
            <w:tcBorders>
              <w:top w:val="single" w:sz="4" w:space="0" w:color="auto"/>
            </w:tcBorders>
            <w:tcMar>
              <w:top w:w="150" w:type="dxa"/>
              <w:left w:w="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b/>
                <w:bCs/>
                <w:color w:val="000000"/>
                <w:lang w:val="id-ID"/>
              </w:rPr>
              <w:t>Financial Knowledge</w:t>
            </w:r>
          </w:p>
        </w:tc>
        <w:tc>
          <w:tcPr>
            <w:tcW w:w="0" w:type="auto"/>
            <w:tcBorders>
              <w:top w:val="single" w:sz="4" w:space="0" w:color="auto"/>
            </w:tcBorders>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X1_1</w:t>
            </w:r>
          </w:p>
        </w:tc>
        <w:tc>
          <w:tcPr>
            <w:tcW w:w="3590" w:type="dxa"/>
            <w:tcBorders>
              <w:top w:val="single" w:sz="4" w:space="0" w:color="auto"/>
            </w:tcBorders>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Financial knowledge is beneficial for MSMEs</w:t>
            </w:r>
          </w:p>
        </w:tc>
        <w:tc>
          <w:tcPr>
            <w:tcW w:w="0" w:type="auto"/>
            <w:tcBorders>
              <w:top w:val="single" w:sz="4" w:space="0" w:color="auto"/>
            </w:tcBorders>
            <w:tcMar>
              <w:top w:w="150" w:type="dxa"/>
              <w:left w:w="240" w:type="dxa"/>
              <w:bottom w:w="150" w:type="dxa"/>
              <w:right w:w="0" w:type="dxa"/>
            </w:tcMar>
            <w:vAlign w:val="center"/>
            <w:hideMark/>
          </w:tcPr>
          <w:sdt>
            <w:sdtPr>
              <w:rPr>
                <w:rFonts w:ascii="Cambria" w:eastAsia="Cambria" w:hAnsi="Cambria" w:cs="Cambria"/>
                <w:color w:val="000000"/>
                <w:lang w:val="id-ID"/>
              </w:rPr>
              <w:tag w:val="MENDELEY_CITATION_v3_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"/>
              <w:id w:val="679481062"/>
              <w:placeholder>
                <w:docPart w:val="349A15EBB5F440CF8F5008C0BBAE3E9C"/>
              </w:placeholder>
            </w:sdtPr>
            <w:sdtEndPr/>
            <w:sdtContent>
              <w:p w:rsidR="005A7613" w:rsidRPr="005A7613" w:rsidRDefault="00CB6AA0" w:rsidP="00846953">
                <w:pPr>
                  <w:ind w:left="284"/>
                  <w:jc w:val="both"/>
                  <w:rPr>
                    <w:rFonts w:ascii="Cambria" w:eastAsia="Cambria" w:hAnsi="Cambria" w:cs="Cambria"/>
                    <w:color w:val="000000"/>
                    <w:lang w:val="id-ID"/>
                  </w:rPr>
                </w:pPr>
                <w:r w:rsidRPr="005A7613">
                  <w:rPr>
                    <w:rFonts w:ascii="Cambria" w:hAnsi="Cambria"/>
                    <w:color w:val="000000"/>
                  </w:rPr>
                  <w:t>(Chen &amp; Volpe, 1998)</w:t>
                </w:r>
              </w:p>
            </w:sdtContent>
          </w:sdt>
        </w:tc>
      </w:tr>
      <w:tr w:rsidR="00460557" w:rsidTr="005A7613">
        <w:trPr>
          <w:jc w:val="center"/>
        </w:trPr>
        <w:tc>
          <w:tcPr>
            <w:tcW w:w="1570" w:type="dxa"/>
            <w:vMerge/>
            <w:tcMar>
              <w:top w:w="150" w:type="dxa"/>
              <w:left w:w="0" w:type="dxa"/>
              <w:bottom w:w="150" w:type="dxa"/>
              <w:right w:w="240" w:type="dxa"/>
            </w:tcMar>
            <w:vAlign w:val="center"/>
            <w:hideMark/>
          </w:tcPr>
          <w:p w:rsidR="005A7613" w:rsidRPr="005A7613" w:rsidRDefault="005A7613" w:rsidP="00846953">
            <w:pPr>
              <w:ind w:left="284"/>
              <w:jc w:val="both"/>
              <w:rPr>
                <w:rFonts w:ascii="Cambria" w:eastAsia="Cambria" w:hAnsi="Cambria" w:cs="Cambria"/>
                <w:color w:val="000000"/>
                <w:lang w:val="id-ID"/>
              </w:rPr>
            </w:pPr>
          </w:p>
        </w:tc>
        <w:tc>
          <w:tcPr>
            <w:tcW w:w="0" w:type="auto"/>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X1_2</w:t>
            </w:r>
          </w:p>
        </w:tc>
        <w:tc>
          <w:tcPr>
            <w:tcW w:w="3590"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The importance of financial planning for MSMEs</w:t>
            </w:r>
          </w:p>
        </w:tc>
        <w:tc>
          <w:tcPr>
            <w:tcW w:w="0" w:type="auto"/>
            <w:tcMar>
              <w:top w:w="150" w:type="dxa"/>
              <w:left w:w="240" w:type="dxa"/>
              <w:bottom w:w="150" w:type="dxa"/>
              <w:right w:w="0" w:type="dxa"/>
            </w:tcMar>
            <w:vAlign w:val="center"/>
            <w:hideMark/>
          </w:tcPr>
          <w:p w:rsidR="005A7613" w:rsidRPr="005A7613" w:rsidRDefault="005A7613" w:rsidP="00846953">
            <w:pPr>
              <w:ind w:left="284"/>
              <w:jc w:val="both"/>
              <w:rPr>
                <w:rFonts w:ascii="Cambria" w:eastAsia="Cambria" w:hAnsi="Cambria" w:cs="Cambria"/>
                <w:color w:val="000000"/>
                <w:lang w:val="id-ID"/>
              </w:rPr>
            </w:pPr>
          </w:p>
        </w:tc>
      </w:tr>
      <w:tr w:rsidR="00460557" w:rsidTr="005A7613">
        <w:trPr>
          <w:jc w:val="center"/>
        </w:trPr>
        <w:tc>
          <w:tcPr>
            <w:tcW w:w="1570" w:type="dxa"/>
            <w:vMerge/>
            <w:tcMar>
              <w:top w:w="150" w:type="dxa"/>
              <w:left w:w="0" w:type="dxa"/>
              <w:bottom w:w="150" w:type="dxa"/>
              <w:right w:w="240" w:type="dxa"/>
            </w:tcMar>
            <w:vAlign w:val="center"/>
            <w:hideMark/>
          </w:tcPr>
          <w:p w:rsidR="005A7613" w:rsidRPr="005A7613" w:rsidRDefault="005A7613" w:rsidP="00846953">
            <w:pPr>
              <w:ind w:left="284"/>
              <w:jc w:val="both"/>
              <w:rPr>
                <w:rFonts w:ascii="Cambria" w:eastAsia="Cambria" w:hAnsi="Cambria" w:cs="Cambria"/>
                <w:color w:val="000000"/>
                <w:lang w:val="id-ID"/>
              </w:rPr>
            </w:pPr>
          </w:p>
        </w:tc>
        <w:tc>
          <w:tcPr>
            <w:tcW w:w="0" w:type="auto"/>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X1_3</w:t>
            </w:r>
          </w:p>
        </w:tc>
        <w:tc>
          <w:tcPr>
            <w:tcW w:w="3590"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Land is an asset easily sold by MSMEs</w:t>
            </w:r>
          </w:p>
        </w:tc>
        <w:tc>
          <w:tcPr>
            <w:tcW w:w="0" w:type="auto"/>
            <w:tcMar>
              <w:top w:w="150" w:type="dxa"/>
              <w:left w:w="240" w:type="dxa"/>
              <w:bottom w:w="150" w:type="dxa"/>
              <w:right w:w="0" w:type="dxa"/>
            </w:tcMar>
            <w:vAlign w:val="center"/>
            <w:hideMark/>
          </w:tcPr>
          <w:p w:rsidR="005A7613" w:rsidRPr="005A7613" w:rsidRDefault="005A7613" w:rsidP="00846953">
            <w:pPr>
              <w:ind w:left="284"/>
              <w:jc w:val="both"/>
              <w:rPr>
                <w:rFonts w:ascii="Cambria" w:eastAsia="Cambria" w:hAnsi="Cambria" w:cs="Cambria"/>
                <w:color w:val="000000"/>
                <w:lang w:val="id-ID"/>
              </w:rPr>
            </w:pPr>
          </w:p>
        </w:tc>
      </w:tr>
      <w:tr w:rsidR="00460557" w:rsidTr="005A7613">
        <w:trPr>
          <w:jc w:val="center"/>
        </w:trPr>
        <w:tc>
          <w:tcPr>
            <w:tcW w:w="1570" w:type="dxa"/>
            <w:vMerge/>
            <w:tcMar>
              <w:top w:w="150" w:type="dxa"/>
              <w:left w:w="0" w:type="dxa"/>
              <w:bottom w:w="150" w:type="dxa"/>
              <w:right w:w="240" w:type="dxa"/>
            </w:tcMar>
            <w:vAlign w:val="center"/>
            <w:hideMark/>
          </w:tcPr>
          <w:p w:rsidR="005A7613" w:rsidRPr="005A7613" w:rsidRDefault="005A7613" w:rsidP="00846953">
            <w:pPr>
              <w:ind w:left="284"/>
              <w:jc w:val="both"/>
              <w:rPr>
                <w:rFonts w:ascii="Cambria" w:eastAsia="Cambria" w:hAnsi="Cambria" w:cs="Cambria"/>
                <w:color w:val="000000"/>
                <w:lang w:val="id-ID"/>
              </w:rPr>
            </w:pPr>
          </w:p>
        </w:tc>
        <w:tc>
          <w:tcPr>
            <w:tcW w:w="0" w:type="auto"/>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X1_4</w:t>
            </w:r>
          </w:p>
        </w:tc>
        <w:tc>
          <w:tcPr>
            <w:tcW w:w="3590"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Net assets represent the difference between debt and wealth.</w:t>
            </w:r>
          </w:p>
        </w:tc>
        <w:tc>
          <w:tcPr>
            <w:tcW w:w="0" w:type="auto"/>
            <w:tcMar>
              <w:top w:w="150" w:type="dxa"/>
              <w:left w:w="240" w:type="dxa"/>
              <w:bottom w:w="150" w:type="dxa"/>
              <w:right w:w="0" w:type="dxa"/>
            </w:tcMar>
            <w:vAlign w:val="center"/>
            <w:hideMark/>
          </w:tcPr>
          <w:p w:rsidR="005A7613" w:rsidRPr="005A7613" w:rsidRDefault="005A7613" w:rsidP="00846953">
            <w:pPr>
              <w:ind w:left="284"/>
              <w:jc w:val="both"/>
              <w:rPr>
                <w:rFonts w:ascii="Cambria" w:eastAsia="Cambria" w:hAnsi="Cambria" w:cs="Cambria"/>
                <w:color w:val="000000"/>
                <w:lang w:val="id-ID"/>
              </w:rPr>
            </w:pPr>
          </w:p>
        </w:tc>
      </w:tr>
      <w:tr w:rsidR="00460557" w:rsidTr="005A7613">
        <w:trPr>
          <w:jc w:val="center"/>
        </w:trPr>
        <w:tc>
          <w:tcPr>
            <w:tcW w:w="1570" w:type="dxa"/>
            <w:vMerge/>
            <w:tcMar>
              <w:top w:w="150" w:type="dxa"/>
              <w:left w:w="0" w:type="dxa"/>
              <w:bottom w:w="150" w:type="dxa"/>
              <w:right w:w="240" w:type="dxa"/>
            </w:tcMar>
            <w:vAlign w:val="center"/>
            <w:hideMark/>
          </w:tcPr>
          <w:p w:rsidR="005A7613" w:rsidRPr="005A7613" w:rsidRDefault="005A7613" w:rsidP="00846953">
            <w:pPr>
              <w:ind w:left="284"/>
              <w:jc w:val="both"/>
              <w:rPr>
                <w:rFonts w:ascii="Cambria" w:eastAsia="Cambria" w:hAnsi="Cambria" w:cs="Cambria"/>
                <w:color w:val="000000"/>
                <w:lang w:val="id-ID"/>
              </w:rPr>
            </w:pPr>
          </w:p>
        </w:tc>
        <w:tc>
          <w:tcPr>
            <w:tcW w:w="0" w:type="auto"/>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X1_5</w:t>
            </w:r>
          </w:p>
        </w:tc>
        <w:tc>
          <w:tcPr>
            <w:tcW w:w="3590"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Sales proceeds represent income for MSMEs</w:t>
            </w:r>
          </w:p>
        </w:tc>
        <w:tc>
          <w:tcPr>
            <w:tcW w:w="0" w:type="auto"/>
            <w:tcMar>
              <w:top w:w="150" w:type="dxa"/>
              <w:left w:w="240" w:type="dxa"/>
              <w:bottom w:w="150" w:type="dxa"/>
              <w:right w:w="0" w:type="dxa"/>
            </w:tcMar>
            <w:vAlign w:val="center"/>
            <w:hideMark/>
          </w:tcPr>
          <w:p w:rsidR="005A7613" w:rsidRPr="005A7613" w:rsidRDefault="005A7613" w:rsidP="00846953">
            <w:pPr>
              <w:ind w:left="284"/>
              <w:jc w:val="both"/>
              <w:rPr>
                <w:rFonts w:ascii="Cambria" w:eastAsia="Cambria" w:hAnsi="Cambria" w:cs="Cambria"/>
                <w:color w:val="000000"/>
                <w:lang w:val="id-ID"/>
              </w:rPr>
            </w:pPr>
          </w:p>
        </w:tc>
      </w:tr>
      <w:tr w:rsidR="00460557" w:rsidTr="005A7613">
        <w:trPr>
          <w:jc w:val="center"/>
        </w:trPr>
        <w:tc>
          <w:tcPr>
            <w:tcW w:w="1570" w:type="dxa"/>
            <w:vMerge/>
            <w:tcMar>
              <w:top w:w="150" w:type="dxa"/>
              <w:left w:w="0" w:type="dxa"/>
              <w:bottom w:w="150" w:type="dxa"/>
              <w:right w:w="240" w:type="dxa"/>
            </w:tcMar>
            <w:vAlign w:val="center"/>
            <w:hideMark/>
          </w:tcPr>
          <w:p w:rsidR="005A7613" w:rsidRPr="005A7613" w:rsidRDefault="005A7613" w:rsidP="00846953">
            <w:pPr>
              <w:ind w:left="284"/>
              <w:jc w:val="both"/>
              <w:rPr>
                <w:rFonts w:ascii="Cambria" w:eastAsia="Cambria" w:hAnsi="Cambria" w:cs="Cambria"/>
                <w:color w:val="000000"/>
                <w:lang w:val="id-ID"/>
              </w:rPr>
            </w:pPr>
          </w:p>
        </w:tc>
        <w:tc>
          <w:tcPr>
            <w:tcW w:w="0" w:type="auto"/>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X1_6</w:t>
            </w:r>
          </w:p>
        </w:tc>
        <w:tc>
          <w:tcPr>
            <w:tcW w:w="3590"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Interest payments represent expenditures for MSMEs</w:t>
            </w:r>
          </w:p>
        </w:tc>
        <w:tc>
          <w:tcPr>
            <w:tcW w:w="0" w:type="auto"/>
            <w:tcMar>
              <w:top w:w="150" w:type="dxa"/>
              <w:left w:w="240" w:type="dxa"/>
              <w:bottom w:w="150" w:type="dxa"/>
              <w:right w:w="0" w:type="dxa"/>
            </w:tcMar>
            <w:vAlign w:val="center"/>
            <w:hideMark/>
          </w:tcPr>
          <w:p w:rsidR="005A7613" w:rsidRPr="005A7613" w:rsidRDefault="005A7613" w:rsidP="00846953">
            <w:pPr>
              <w:ind w:left="284"/>
              <w:jc w:val="both"/>
              <w:rPr>
                <w:rFonts w:ascii="Cambria" w:eastAsia="Cambria" w:hAnsi="Cambria" w:cs="Cambria"/>
                <w:color w:val="000000"/>
                <w:lang w:val="id-ID"/>
              </w:rPr>
            </w:pPr>
          </w:p>
        </w:tc>
      </w:tr>
      <w:tr w:rsidR="00460557" w:rsidTr="005A7613">
        <w:trPr>
          <w:jc w:val="center"/>
        </w:trPr>
        <w:tc>
          <w:tcPr>
            <w:tcW w:w="1570" w:type="dxa"/>
            <w:vMerge w:val="restart"/>
            <w:tcMar>
              <w:top w:w="150" w:type="dxa"/>
              <w:left w:w="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b/>
                <w:bCs/>
                <w:color w:val="000000"/>
                <w:lang w:val="id-ID"/>
              </w:rPr>
              <w:t>Savings &amp; Loans</w:t>
            </w:r>
          </w:p>
        </w:tc>
        <w:tc>
          <w:tcPr>
            <w:tcW w:w="0" w:type="auto"/>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X2_1</w:t>
            </w:r>
          </w:p>
        </w:tc>
        <w:tc>
          <w:tcPr>
            <w:tcW w:w="3590"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Credit card interest is higher than loan interest</w:t>
            </w:r>
          </w:p>
        </w:tc>
        <w:tc>
          <w:tcPr>
            <w:tcW w:w="0" w:type="auto"/>
            <w:tcMar>
              <w:top w:w="150" w:type="dxa"/>
              <w:left w:w="240" w:type="dxa"/>
              <w:bottom w:w="150" w:type="dxa"/>
              <w:right w:w="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Law No.10/1998</w:t>
            </w:r>
          </w:p>
        </w:tc>
      </w:tr>
      <w:tr w:rsidR="00460557" w:rsidTr="005A7613">
        <w:trPr>
          <w:jc w:val="center"/>
        </w:trPr>
        <w:tc>
          <w:tcPr>
            <w:tcW w:w="1570" w:type="dxa"/>
            <w:vMerge/>
            <w:tcMar>
              <w:top w:w="150" w:type="dxa"/>
              <w:left w:w="0" w:type="dxa"/>
              <w:bottom w:w="150" w:type="dxa"/>
              <w:right w:w="240" w:type="dxa"/>
            </w:tcMar>
            <w:vAlign w:val="center"/>
            <w:hideMark/>
          </w:tcPr>
          <w:p w:rsidR="005A7613" w:rsidRPr="005A7613" w:rsidRDefault="005A7613" w:rsidP="00846953">
            <w:pPr>
              <w:ind w:left="284"/>
              <w:jc w:val="both"/>
              <w:rPr>
                <w:rFonts w:ascii="Cambria" w:eastAsia="Cambria" w:hAnsi="Cambria" w:cs="Cambria"/>
                <w:color w:val="000000"/>
                <w:lang w:val="id-ID"/>
              </w:rPr>
            </w:pPr>
          </w:p>
        </w:tc>
        <w:tc>
          <w:tcPr>
            <w:tcW w:w="0" w:type="auto"/>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X2_2</w:t>
            </w:r>
          </w:p>
        </w:tc>
        <w:tc>
          <w:tcPr>
            <w:tcW w:w="3590"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Banks are the safest place to store money</w:t>
            </w:r>
          </w:p>
        </w:tc>
        <w:tc>
          <w:tcPr>
            <w:tcW w:w="0" w:type="auto"/>
            <w:tcMar>
              <w:top w:w="150" w:type="dxa"/>
              <w:left w:w="240" w:type="dxa"/>
              <w:bottom w:w="150" w:type="dxa"/>
              <w:right w:w="0" w:type="dxa"/>
            </w:tcMar>
            <w:vAlign w:val="center"/>
            <w:hideMark/>
          </w:tcPr>
          <w:p w:rsidR="005A7613" w:rsidRPr="005A7613" w:rsidRDefault="005A7613" w:rsidP="00846953">
            <w:pPr>
              <w:ind w:left="284"/>
              <w:jc w:val="both"/>
              <w:rPr>
                <w:rFonts w:ascii="Cambria" w:eastAsia="Cambria" w:hAnsi="Cambria" w:cs="Cambria"/>
                <w:color w:val="000000"/>
                <w:lang w:val="id-ID"/>
              </w:rPr>
            </w:pPr>
          </w:p>
        </w:tc>
      </w:tr>
      <w:tr w:rsidR="00460557" w:rsidTr="005A7613">
        <w:trPr>
          <w:jc w:val="center"/>
        </w:trPr>
        <w:tc>
          <w:tcPr>
            <w:tcW w:w="1570" w:type="dxa"/>
            <w:vMerge/>
            <w:tcMar>
              <w:top w:w="150" w:type="dxa"/>
              <w:left w:w="0" w:type="dxa"/>
              <w:bottom w:w="150" w:type="dxa"/>
              <w:right w:w="240" w:type="dxa"/>
            </w:tcMar>
            <w:vAlign w:val="center"/>
            <w:hideMark/>
          </w:tcPr>
          <w:p w:rsidR="005A7613" w:rsidRPr="005A7613" w:rsidRDefault="005A7613" w:rsidP="00846953">
            <w:pPr>
              <w:ind w:left="284"/>
              <w:jc w:val="both"/>
              <w:rPr>
                <w:rFonts w:ascii="Cambria" w:eastAsia="Cambria" w:hAnsi="Cambria" w:cs="Cambria"/>
                <w:color w:val="000000"/>
                <w:lang w:val="id-ID"/>
              </w:rPr>
            </w:pPr>
          </w:p>
        </w:tc>
        <w:tc>
          <w:tcPr>
            <w:tcW w:w="0" w:type="auto"/>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X2_3</w:t>
            </w:r>
          </w:p>
        </w:tc>
        <w:tc>
          <w:tcPr>
            <w:tcW w:w="3590"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Repayment period and collateral need to be considered before borrowing.</w:t>
            </w:r>
          </w:p>
        </w:tc>
        <w:tc>
          <w:tcPr>
            <w:tcW w:w="0" w:type="auto"/>
            <w:tcMar>
              <w:top w:w="150" w:type="dxa"/>
              <w:left w:w="240" w:type="dxa"/>
              <w:bottom w:w="150" w:type="dxa"/>
              <w:right w:w="0" w:type="dxa"/>
            </w:tcMar>
            <w:vAlign w:val="center"/>
            <w:hideMark/>
          </w:tcPr>
          <w:p w:rsidR="005A7613" w:rsidRPr="005A7613" w:rsidRDefault="005A7613" w:rsidP="00846953">
            <w:pPr>
              <w:ind w:left="284"/>
              <w:jc w:val="both"/>
              <w:rPr>
                <w:rFonts w:ascii="Cambria" w:eastAsia="Cambria" w:hAnsi="Cambria" w:cs="Cambria"/>
                <w:color w:val="000000"/>
                <w:lang w:val="id-ID"/>
              </w:rPr>
            </w:pPr>
          </w:p>
        </w:tc>
      </w:tr>
      <w:tr w:rsidR="00460557" w:rsidTr="005A7613">
        <w:trPr>
          <w:jc w:val="center"/>
        </w:trPr>
        <w:tc>
          <w:tcPr>
            <w:tcW w:w="1570" w:type="dxa"/>
            <w:vMerge/>
            <w:tcMar>
              <w:top w:w="150" w:type="dxa"/>
              <w:left w:w="0" w:type="dxa"/>
              <w:bottom w:w="150" w:type="dxa"/>
              <w:right w:w="240" w:type="dxa"/>
            </w:tcMar>
            <w:vAlign w:val="center"/>
            <w:hideMark/>
          </w:tcPr>
          <w:p w:rsidR="005A7613" w:rsidRPr="005A7613" w:rsidRDefault="005A7613" w:rsidP="00846953">
            <w:pPr>
              <w:ind w:left="284"/>
              <w:jc w:val="both"/>
              <w:rPr>
                <w:rFonts w:ascii="Cambria" w:eastAsia="Cambria" w:hAnsi="Cambria" w:cs="Cambria"/>
                <w:color w:val="000000"/>
                <w:lang w:val="id-ID"/>
              </w:rPr>
            </w:pPr>
          </w:p>
        </w:tc>
        <w:tc>
          <w:tcPr>
            <w:tcW w:w="0" w:type="auto"/>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X2_4</w:t>
            </w:r>
          </w:p>
        </w:tc>
        <w:tc>
          <w:tcPr>
            <w:tcW w:w="3590"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Creditworthiness increases with evidence of never defaulting.</w:t>
            </w:r>
          </w:p>
        </w:tc>
        <w:tc>
          <w:tcPr>
            <w:tcW w:w="0" w:type="auto"/>
            <w:tcMar>
              <w:top w:w="150" w:type="dxa"/>
              <w:left w:w="240" w:type="dxa"/>
              <w:bottom w:w="150" w:type="dxa"/>
              <w:right w:w="0" w:type="dxa"/>
            </w:tcMar>
            <w:vAlign w:val="center"/>
            <w:hideMark/>
          </w:tcPr>
          <w:p w:rsidR="005A7613" w:rsidRPr="005A7613" w:rsidRDefault="005A7613" w:rsidP="00846953">
            <w:pPr>
              <w:ind w:left="284"/>
              <w:jc w:val="both"/>
              <w:rPr>
                <w:rFonts w:ascii="Cambria" w:eastAsia="Cambria" w:hAnsi="Cambria" w:cs="Cambria"/>
                <w:color w:val="000000"/>
                <w:lang w:val="id-ID"/>
              </w:rPr>
            </w:pPr>
          </w:p>
        </w:tc>
      </w:tr>
      <w:tr w:rsidR="00460557" w:rsidTr="005A7613">
        <w:trPr>
          <w:jc w:val="center"/>
        </w:trPr>
        <w:tc>
          <w:tcPr>
            <w:tcW w:w="1570" w:type="dxa"/>
            <w:vMerge w:val="restart"/>
            <w:tcMar>
              <w:top w:w="150" w:type="dxa"/>
              <w:left w:w="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b/>
                <w:bCs/>
                <w:color w:val="000000"/>
                <w:lang w:val="id-ID"/>
              </w:rPr>
              <w:lastRenderedPageBreak/>
              <w:t>Investment</w:t>
            </w:r>
          </w:p>
        </w:tc>
        <w:tc>
          <w:tcPr>
            <w:tcW w:w="0" w:type="auto"/>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X3_1</w:t>
            </w:r>
          </w:p>
        </w:tc>
        <w:tc>
          <w:tcPr>
            <w:tcW w:w="3590"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Investment is a long-term capital placement for future profit</w:t>
            </w:r>
          </w:p>
        </w:tc>
        <w:tc>
          <w:tcPr>
            <w:tcW w:w="0" w:type="auto"/>
            <w:tcMar>
              <w:top w:w="150" w:type="dxa"/>
              <w:left w:w="240" w:type="dxa"/>
              <w:bottom w:w="150" w:type="dxa"/>
              <w:right w:w="0" w:type="dxa"/>
            </w:tcMar>
            <w:vAlign w:val="center"/>
            <w:hideMark/>
          </w:tcPr>
          <w:sdt>
            <w:sdtPr>
              <w:rPr>
                <w:rFonts w:ascii="Cambria" w:eastAsia="Cambria" w:hAnsi="Cambria" w:cs="Cambria"/>
                <w:color w:val="000000"/>
                <w:lang w:val="id-ID"/>
              </w:rPr>
              <w:tag w:val="MENDELEY_CITATION_v3_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"/>
              <w:id w:val="-590166480"/>
              <w:placeholder>
                <w:docPart w:val="349A15EBB5F440CF8F5008C0BBAE3E9C"/>
              </w:placeholder>
            </w:sdtPr>
            <w:sdtEndPr/>
            <w:sdtContent>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(Fahmi, 2015)</w:t>
                </w:r>
              </w:p>
            </w:sdtContent>
          </w:sdt>
        </w:tc>
      </w:tr>
      <w:tr w:rsidR="00460557" w:rsidTr="005A7613">
        <w:trPr>
          <w:jc w:val="center"/>
        </w:trPr>
        <w:tc>
          <w:tcPr>
            <w:tcW w:w="1570" w:type="dxa"/>
            <w:vMerge/>
            <w:tcMar>
              <w:top w:w="150" w:type="dxa"/>
              <w:left w:w="0" w:type="dxa"/>
              <w:bottom w:w="150" w:type="dxa"/>
              <w:right w:w="240" w:type="dxa"/>
            </w:tcMar>
            <w:vAlign w:val="center"/>
            <w:hideMark/>
          </w:tcPr>
          <w:p w:rsidR="005A7613" w:rsidRPr="005A7613" w:rsidRDefault="005A7613" w:rsidP="00846953">
            <w:pPr>
              <w:ind w:left="284"/>
              <w:jc w:val="both"/>
              <w:rPr>
                <w:rFonts w:ascii="Cambria" w:eastAsia="Cambria" w:hAnsi="Cambria" w:cs="Cambria"/>
                <w:color w:val="000000"/>
                <w:lang w:val="id-ID"/>
              </w:rPr>
            </w:pPr>
          </w:p>
        </w:tc>
        <w:tc>
          <w:tcPr>
            <w:tcW w:w="0" w:type="auto"/>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X3_2</w:t>
            </w:r>
          </w:p>
        </w:tc>
        <w:tc>
          <w:tcPr>
            <w:tcW w:w="3590"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Purchasing company shares means owning part of the company</w:t>
            </w:r>
          </w:p>
        </w:tc>
        <w:tc>
          <w:tcPr>
            <w:tcW w:w="0" w:type="auto"/>
            <w:tcMar>
              <w:top w:w="150" w:type="dxa"/>
              <w:left w:w="240" w:type="dxa"/>
              <w:bottom w:w="150" w:type="dxa"/>
              <w:right w:w="0" w:type="dxa"/>
            </w:tcMar>
            <w:vAlign w:val="center"/>
            <w:hideMark/>
          </w:tcPr>
          <w:p w:rsidR="005A7613" w:rsidRPr="005A7613" w:rsidRDefault="005A7613" w:rsidP="00846953">
            <w:pPr>
              <w:ind w:left="284"/>
              <w:jc w:val="both"/>
              <w:rPr>
                <w:rFonts w:ascii="Cambria" w:eastAsia="Cambria" w:hAnsi="Cambria" w:cs="Cambria"/>
                <w:color w:val="000000"/>
                <w:lang w:val="id-ID"/>
              </w:rPr>
            </w:pPr>
          </w:p>
        </w:tc>
      </w:tr>
      <w:tr w:rsidR="00460557" w:rsidTr="005A7613">
        <w:trPr>
          <w:jc w:val="center"/>
        </w:trPr>
        <w:tc>
          <w:tcPr>
            <w:tcW w:w="1570" w:type="dxa"/>
            <w:vMerge/>
            <w:tcMar>
              <w:top w:w="150" w:type="dxa"/>
              <w:left w:w="0" w:type="dxa"/>
              <w:bottom w:w="150" w:type="dxa"/>
              <w:right w:w="240" w:type="dxa"/>
            </w:tcMar>
            <w:vAlign w:val="center"/>
            <w:hideMark/>
          </w:tcPr>
          <w:p w:rsidR="005A7613" w:rsidRPr="005A7613" w:rsidRDefault="005A7613" w:rsidP="00846953">
            <w:pPr>
              <w:ind w:left="284"/>
              <w:jc w:val="both"/>
              <w:rPr>
                <w:rFonts w:ascii="Cambria" w:eastAsia="Cambria" w:hAnsi="Cambria" w:cs="Cambria"/>
                <w:color w:val="000000"/>
                <w:lang w:val="id-ID"/>
              </w:rPr>
            </w:pPr>
          </w:p>
        </w:tc>
        <w:tc>
          <w:tcPr>
            <w:tcW w:w="0" w:type="auto"/>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X3_3</w:t>
            </w:r>
          </w:p>
        </w:tc>
        <w:tc>
          <w:tcPr>
            <w:tcW w:w="3590"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The easiest way to reduce investment risk is through portfolio diversification.</w:t>
            </w:r>
          </w:p>
        </w:tc>
        <w:tc>
          <w:tcPr>
            <w:tcW w:w="0" w:type="auto"/>
            <w:tcMar>
              <w:top w:w="150" w:type="dxa"/>
              <w:left w:w="240" w:type="dxa"/>
              <w:bottom w:w="150" w:type="dxa"/>
              <w:right w:w="0" w:type="dxa"/>
            </w:tcMar>
            <w:vAlign w:val="center"/>
            <w:hideMark/>
          </w:tcPr>
          <w:p w:rsidR="005A7613" w:rsidRPr="005A7613" w:rsidRDefault="005A7613" w:rsidP="00846953">
            <w:pPr>
              <w:ind w:left="284"/>
              <w:jc w:val="both"/>
              <w:rPr>
                <w:rFonts w:ascii="Cambria" w:eastAsia="Cambria" w:hAnsi="Cambria" w:cs="Cambria"/>
                <w:color w:val="000000"/>
                <w:lang w:val="id-ID"/>
              </w:rPr>
            </w:pPr>
          </w:p>
        </w:tc>
      </w:tr>
      <w:tr w:rsidR="00460557" w:rsidTr="005A7613">
        <w:trPr>
          <w:jc w:val="center"/>
        </w:trPr>
        <w:tc>
          <w:tcPr>
            <w:tcW w:w="1570" w:type="dxa"/>
            <w:vMerge/>
            <w:tcMar>
              <w:top w:w="150" w:type="dxa"/>
              <w:left w:w="0" w:type="dxa"/>
              <w:bottom w:w="150" w:type="dxa"/>
              <w:right w:w="240" w:type="dxa"/>
            </w:tcMar>
            <w:vAlign w:val="center"/>
            <w:hideMark/>
          </w:tcPr>
          <w:p w:rsidR="005A7613" w:rsidRPr="005A7613" w:rsidRDefault="005A7613" w:rsidP="00846953">
            <w:pPr>
              <w:ind w:left="284"/>
              <w:jc w:val="both"/>
              <w:rPr>
                <w:rFonts w:ascii="Cambria" w:eastAsia="Cambria" w:hAnsi="Cambria" w:cs="Cambria"/>
                <w:color w:val="000000"/>
                <w:lang w:val="id-ID"/>
              </w:rPr>
            </w:pPr>
          </w:p>
        </w:tc>
        <w:tc>
          <w:tcPr>
            <w:tcW w:w="0" w:type="auto"/>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X3_4</w:t>
            </w:r>
          </w:p>
        </w:tc>
        <w:tc>
          <w:tcPr>
            <w:tcW w:w="3590" w:type="dxa"/>
            <w:tcMar>
              <w:top w:w="150" w:type="dxa"/>
              <w:left w:w="240" w:type="dxa"/>
              <w:bottom w:w="150" w:type="dxa"/>
              <w:right w:w="240" w:type="dxa"/>
            </w:tcMar>
            <w:vAlign w:val="center"/>
            <w:hideMark/>
          </w:tcPr>
          <w:p w:rsidR="005A7613" w:rsidRPr="005A7613" w:rsidRDefault="00CB6AA0" w:rsidP="00846953">
            <w:pPr>
              <w:ind w:left="284"/>
              <w:jc w:val="both"/>
              <w:rPr>
                <w:rFonts w:ascii="Cambria" w:eastAsia="Cambria" w:hAnsi="Cambria" w:cs="Cambria"/>
                <w:color w:val="000000"/>
                <w:lang w:val="id-ID"/>
              </w:rPr>
            </w:pPr>
            <w:r w:rsidRPr="005A7613">
              <w:rPr>
                <w:rFonts w:ascii="Cambria" w:eastAsia="Cambria" w:hAnsi="Cambria" w:cs="Cambria"/>
                <w:color w:val="000000"/>
                <w:lang w:val="id-ID"/>
              </w:rPr>
              <w:t>Investment is beneficial for preparing a more mature future.</w:t>
            </w:r>
          </w:p>
        </w:tc>
        <w:tc>
          <w:tcPr>
            <w:tcW w:w="0" w:type="auto"/>
            <w:tcMar>
              <w:top w:w="150" w:type="dxa"/>
              <w:left w:w="240" w:type="dxa"/>
              <w:bottom w:w="150" w:type="dxa"/>
              <w:right w:w="0" w:type="dxa"/>
            </w:tcMar>
            <w:vAlign w:val="center"/>
            <w:hideMark/>
          </w:tcPr>
          <w:p w:rsidR="005A7613" w:rsidRPr="005A7613" w:rsidRDefault="005A7613" w:rsidP="00846953">
            <w:pPr>
              <w:ind w:left="284"/>
              <w:jc w:val="both"/>
              <w:rPr>
                <w:rFonts w:ascii="Cambria" w:eastAsia="Cambria" w:hAnsi="Cambria" w:cs="Cambria"/>
                <w:color w:val="000000"/>
                <w:lang w:val="id-ID"/>
              </w:rPr>
            </w:pPr>
          </w:p>
        </w:tc>
      </w:tr>
    </w:tbl>
    <w:p w:rsidR="005A7613" w:rsidRPr="00192DE7" w:rsidRDefault="00CB6AA0" w:rsidP="00CB6AA0">
      <w:pPr>
        <w:spacing w:before="120" w:after="60"/>
        <w:ind w:left="284"/>
        <w:jc w:val="center"/>
        <w:rPr>
          <w:rFonts w:ascii="Cambria" w:eastAsia="Cambria" w:hAnsi="Cambria" w:cs="Cambria"/>
          <w:color w:val="000000"/>
          <w:sz w:val="24"/>
          <w:szCs w:val="24"/>
          <w:lang w:val="id-ID"/>
        </w:rPr>
      </w:pPr>
      <w:r w:rsidRPr="00192DE7">
        <w:rPr>
          <w:rFonts w:ascii="Cambria" w:eastAsia="Cambria" w:hAnsi="Cambria" w:cs="Cambria"/>
          <w:b/>
          <w:bCs/>
          <w:color w:val="000000"/>
          <w:sz w:val="24"/>
          <w:szCs w:val="24"/>
          <w:lang w:val="id-ID"/>
        </w:rPr>
        <w:t xml:space="preserve">Table </w:t>
      </w:r>
      <w:r>
        <w:rPr>
          <w:rFonts w:ascii="Cambria" w:eastAsia="Cambria" w:hAnsi="Cambria" w:cs="Cambria"/>
          <w:b/>
          <w:bCs/>
          <w:color w:val="000000"/>
          <w:sz w:val="24"/>
          <w:szCs w:val="24"/>
          <w:lang w:val="id-ID"/>
        </w:rPr>
        <w:t>5</w:t>
      </w:r>
      <w:r w:rsidR="000A6DB5">
        <w:rPr>
          <w:rFonts w:ascii="Cambria" w:eastAsia="Cambria" w:hAnsi="Cambria" w:cs="Cambria"/>
          <w:b/>
          <w:bCs/>
          <w:color w:val="000000"/>
          <w:sz w:val="24"/>
          <w:szCs w:val="24"/>
          <w:lang w:val="id-ID"/>
        </w:rPr>
        <w:t>.</w:t>
      </w:r>
      <w:r w:rsidRPr="00192DE7">
        <w:rPr>
          <w:rFonts w:ascii="Cambria" w:eastAsia="Cambria" w:hAnsi="Cambria" w:cs="Cambria"/>
          <w:color w:val="000000"/>
          <w:sz w:val="24"/>
          <w:szCs w:val="24"/>
          <w:lang w:val="id-ID"/>
        </w:rPr>
        <w:t> Operationalization of MSME Performance (Variable Y)</w:t>
      </w:r>
    </w:p>
    <w:tbl>
      <w:tblPr>
        <w:tblW w:w="0" w:type="auto"/>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422"/>
        <w:gridCol w:w="1219"/>
        <w:gridCol w:w="4447"/>
        <w:gridCol w:w="1858"/>
      </w:tblGrid>
      <w:tr w:rsidR="00460557" w:rsidTr="00CB6AA0">
        <w:trPr>
          <w:tblHeader/>
          <w:jc w:val="center"/>
        </w:trPr>
        <w:tc>
          <w:tcPr>
            <w:tcW w:w="1422" w:type="dxa"/>
            <w:tcBorders>
              <w:top w:val="single" w:sz="4" w:space="0" w:color="auto"/>
              <w:bottom w:val="single" w:sz="4" w:space="0" w:color="auto"/>
            </w:tcBorders>
            <w:tcMar>
              <w:top w:w="150" w:type="dxa"/>
              <w:left w:w="0" w:type="dxa"/>
              <w:bottom w:w="150" w:type="dxa"/>
              <w:right w:w="240" w:type="dxa"/>
            </w:tcMar>
            <w:vAlign w:val="center"/>
            <w:hideMark/>
          </w:tcPr>
          <w:p w:rsidR="005A7613" w:rsidRPr="003A6535" w:rsidRDefault="00CB6AA0" w:rsidP="003A6535">
            <w:pPr>
              <w:ind w:left="284"/>
              <w:jc w:val="center"/>
              <w:rPr>
                <w:rFonts w:asciiTheme="minorHAnsi" w:eastAsia="Cambria" w:hAnsiTheme="minorHAnsi" w:cs="Cambria"/>
                <w:b/>
                <w:bCs/>
                <w:color w:val="000000"/>
                <w:lang w:val="id-ID"/>
              </w:rPr>
            </w:pPr>
            <w:r w:rsidRPr="003A6535">
              <w:rPr>
                <w:rFonts w:asciiTheme="minorHAnsi" w:eastAsia="Cambria" w:hAnsiTheme="minorHAnsi" w:cs="Cambria"/>
                <w:b/>
                <w:bCs/>
                <w:color w:val="000000"/>
                <w:lang w:val="id-ID"/>
              </w:rPr>
              <w:t>Indicator</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5A7613" w:rsidRPr="003A6535" w:rsidRDefault="00CB6AA0" w:rsidP="003A6535">
            <w:pPr>
              <w:ind w:left="284"/>
              <w:jc w:val="center"/>
              <w:rPr>
                <w:rFonts w:asciiTheme="minorHAnsi" w:eastAsia="Cambria" w:hAnsiTheme="minorHAnsi" w:cs="Cambria"/>
                <w:b/>
                <w:bCs/>
                <w:color w:val="000000"/>
                <w:lang w:val="id-ID"/>
              </w:rPr>
            </w:pPr>
            <w:r w:rsidRPr="003A6535">
              <w:rPr>
                <w:rFonts w:asciiTheme="minorHAnsi" w:eastAsia="Cambria" w:hAnsiTheme="minorHAnsi" w:cs="Cambria"/>
                <w:b/>
                <w:bCs/>
                <w:color w:val="000000"/>
                <w:lang w:val="id-ID"/>
              </w:rPr>
              <w:t>Code</w:t>
            </w:r>
          </w:p>
        </w:tc>
        <w:tc>
          <w:tcPr>
            <w:tcW w:w="4447" w:type="dxa"/>
            <w:tcBorders>
              <w:top w:val="single" w:sz="4" w:space="0" w:color="auto"/>
              <w:bottom w:val="single" w:sz="4" w:space="0" w:color="auto"/>
            </w:tcBorders>
            <w:tcMar>
              <w:top w:w="150" w:type="dxa"/>
              <w:left w:w="240" w:type="dxa"/>
              <w:bottom w:w="150" w:type="dxa"/>
              <w:right w:w="240" w:type="dxa"/>
            </w:tcMar>
            <w:vAlign w:val="center"/>
            <w:hideMark/>
          </w:tcPr>
          <w:p w:rsidR="005A7613" w:rsidRPr="003A6535" w:rsidRDefault="00CB6AA0" w:rsidP="003A6535">
            <w:pPr>
              <w:ind w:left="284"/>
              <w:jc w:val="center"/>
              <w:rPr>
                <w:rFonts w:asciiTheme="minorHAnsi" w:eastAsia="Cambria" w:hAnsiTheme="minorHAnsi" w:cs="Cambria"/>
                <w:b/>
                <w:bCs/>
                <w:color w:val="000000"/>
                <w:lang w:val="id-ID"/>
              </w:rPr>
            </w:pPr>
            <w:r w:rsidRPr="003A6535">
              <w:rPr>
                <w:rFonts w:asciiTheme="minorHAnsi" w:eastAsia="Cambria" w:hAnsiTheme="minorHAnsi" w:cs="Cambria"/>
                <w:b/>
                <w:bCs/>
                <w:color w:val="000000"/>
                <w:lang w:val="id-ID"/>
              </w:rPr>
              <w:t>Statement</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5A7613" w:rsidRPr="003A6535" w:rsidRDefault="00CB6AA0" w:rsidP="003A6535">
            <w:pPr>
              <w:ind w:left="284"/>
              <w:jc w:val="center"/>
              <w:rPr>
                <w:rFonts w:asciiTheme="minorHAnsi" w:eastAsia="Cambria" w:hAnsiTheme="minorHAnsi" w:cs="Cambria"/>
                <w:b/>
                <w:bCs/>
                <w:color w:val="000000"/>
                <w:lang w:val="id-ID"/>
              </w:rPr>
            </w:pPr>
            <w:r w:rsidRPr="003A6535">
              <w:rPr>
                <w:rFonts w:asciiTheme="minorHAnsi" w:eastAsia="Cambria" w:hAnsiTheme="minorHAnsi" w:cs="Cambria"/>
                <w:b/>
                <w:bCs/>
                <w:color w:val="000000"/>
                <w:lang w:val="id-ID"/>
              </w:rPr>
              <w:t>Source</w:t>
            </w:r>
          </w:p>
        </w:tc>
      </w:tr>
      <w:tr w:rsidR="00460557" w:rsidTr="00CB6AA0">
        <w:trPr>
          <w:jc w:val="center"/>
        </w:trPr>
        <w:tc>
          <w:tcPr>
            <w:tcW w:w="1422" w:type="dxa"/>
            <w:vMerge w:val="restart"/>
            <w:tcBorders>
              <w:top w:val="single" w:sz="4" w:space="0" w:color="auto"/>
            </w:tcBorders>
            <w:tcMar>
              <w:top w:w="150" w:type="dxa"/>
              <w:left w:w="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b/>
                <w:bCs/>
                <w:color w:val="000000"/>
                <w:lang w:val="id-ID"/>
              </w:rPr>
              <w:t>Quality</w:t>
            </w:r>
          </w:p>
        </w:tc>
        <w:tc>
          <w:tcPr>
            <w:tcW w:w="0" w:type="auto"/>
            <w:tcBorders>
              <w:top w:val="single" w:sz="4" w:space="0" w:color="auto"/>
            </w:tcBorders>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Y1_1</w:t>
            </w:r>
          </w:p>
        </w:tc>
        <w:tc>
          <w:tcPr>
            <w:tcW w:w="4447" w:type="dxa"/>
            <w:tcBorders>
              <w:top w:val="single" w:sz="4" w:space="0" w:color="auto"/>
            </w:tcBorders>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Work results conform to specified standards</w:t>
            </w:r>
          </w:p>
        </w:tc>
        <w:tc>
          <w:tcPr>
            <w:tcW w:w="0" w:type="auto"/>
            <w:tcBorders>
              <w:top w:val="single" w:sz="4" w:space="0" w:color="auto"/>
            </w:tcBorders>
            <w:tcMar>
              <w:top w:w="150" w:type="dxa"/>
              <w:left w:w="240" w:type="dxa"/>
              <w:bottom w:w="150" w:type="dxa"/>
              <w:right w:w="0" w:type="dxa"/>
            </w:tcMar>
            <w:vAlign w:val="center"/>
            <w:hideMark/>
          </w:tcPr>
          <w:sdt>
            <w:sdtPr>
              <w:rPr>
                <w:rFonts w:ascii="Cambria" w:eastAsia="Cambria" w:hAnsi="Cambria" w:cs="Cambria"/>
                <w:color w:val="000000"/>
                <w:lang w:val="id-ID"/>
              </w:rPr>
              <w:tag w:val="MENDELEY_CITATION_v3_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"/>
              <w:id w:val="740761909"/>
              <w:placeholder>
                <w:docPart w:val="349A15EBB5F440CF8F5008C0BBAE3E9C"/>
              </w:placeholder>
            </w:sdtPr>
            <w:sdtEndPr/>
            <w:sdtContent>
              <w:p w:rsidR="005A7613" w:rsidRPr="003A6535" w:rsidRDefault="00CB6AA0" w:rsidP="00846953">
                <w:pPr>
                  <w:ind w:left="284"/>
                  <w:jc w:val="both"/>
                  <w:rPr>
                    <w:rFonts w:asciiTheme="minorHAnsi" w:eastAsia="Cambria" w:hAnsiTheme="minorHAnsi" w:cs="Cambria"/>
                    <w:color w:val="000000"/>
                    <w:lang w:val="id-ID"/>
                  </w:rPr>
                </w:pPr>
                <w:r w:rsidRPr="003A6535">
                  <w:rPr>
                    <w:rFonts w:ascii="Cambria" w:eastAsia="Cambria" w:hAnsi="Cambria" w:cs="Cambria"/>
                    <w:color w:val="000000"/>
                    <w:lang w:val="id-ID"/>
                  </w:rPr>
                  <w:t>(Bangun, 2012)</w:t>
                </w:r>
              </w:p>
            </w:sdtContent>
          </w:sdt>
        </w:tc>
      </w:tr>
      <w:tr w:rsidR="00460557" w:rsidTr="00CB6AA0">
        <w:trPr>
          <w:jc w:val="center"/>
        </w:trPr>
        <w:tc>
          <w:tcPr>
            <w:tcW w:w="1422" w:type="dxa"/>
            <w:vMerge/>
            <w:tcMar>
              <w:top w:w="150" w:type="dxa"/>
              <w:left w:w="0" w:type="dxa"/>
              <w:bottom w:w="150" w:type="dxa"/>
              <w:right w:w="24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c>
          <w:tcPr>
            <w:tcW w:w="0" w:type="auto"/>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Y1_2</w:t>
            </w:r>
          </w:p>
        </w:tc>
        <w:tc>
          <w:tcPr>
            <w:tcW w:w="4447" w:type="dxa"/>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Ability to perform tasks without errors</w:t>
            </w:r>
          </w:p>
        </w:tc>
        <w:tc>
          <w:tcPr>
            <w:tcW w:w="0" w:type="auto"/>
            <w:tcMar>
              <w:top w:w="150" w:type="dxa"/>
              <w:left w:w="240" w:type="dxa"/>
              <w:bottom w:w="150" w:type="dxa"/>
              <w:right w:w="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r>
      <w:tr w:rsidR="00460557" w:rsidTr="00CB6AA0">
        <w:trPr>
          <w:jc w:val="center"/>
        </w:trPr>
        <w:tc>
          <w:tcPr>
            <w:tcW w:w="1422" w:type="dxa"/>
            <w:vMerge/>
            <w:tcMar>
              <w:top w:w="150" w:type="dxa"/>
              <w:left w:w="0" w:type="dxa"/>
              <w:bottom w:w="150" w:type="dxa"/>
              <w:right w:w="24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c>
          <w:tcPr>
            <w:tcW w:w="0" w:type="auto"/>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Y1_3</w:t>
            </w:r>
          </w:p>
        </w:tc>
        <w:tc>
          <w:tcPr>
            <w:tcW w:w="4447" w:type="dxa"/>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Good production output quality indicates good performance.</w:t>
            </w:r>
          </w:p>
        </w:tc>
        <w:tc>
          <w:tcPr>
            <w:tcW w:w="0" w:type="auto"/>
            <w:tcMar>
              <w:top w:w="150" w:type="dxa"/>
              <w:left w:w="240" w:type="dxa"/>
              <w:bottom w:w="150" w:type="dxa"/>
              <w:right w:w="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r>
      <w:tr w:rsidR="00460557" w:rsidTr="00CB6AA0">
        <w:trPr>
          <w:jc w:val="center"/>
        </w:trPr>
        <w:tc>
          <w:tcPr>
            <w:tcW w:w="1422" w:type="dxa"/>
            <w:vMerge/>
            <w:tcMar>
              <w:top w:w="150" w:type="dxa"/>
              <w:left w:w="0" w:type="dxa"/>
              <w:bottom w:w="150" w:type="dxa"/>
              <w:right w:w="24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c>
          <w:tcPr>
            <w:tcW w:w="0" w:type="auto"/>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Y1_4</w:t>
            </w:r>
          </w:p>
        </w:tc>
        <w:tc>
          <w:tcPr>
            <w:tcW w:w="4447" w:type="dxa"/>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High satisfaction levels indicate good performance.</w:t>
            </w:r>
          </w:p>
        </w:tc>
        <w:tc>
          <w:tcPr>
            <w:tcW w:w="0" w:type="auto"/>
            <w:tcMar>
              <w:top w:w="150" w:type="dxa"/>
              <w:left w:w="240" w:type="dxa"/>
              <w:bottom w:w="150" w:type="dxa"/>
              <w:right w:w="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r>
      <w:tr w:rsidR="00460557" w:rsidTr="00CB6AA0">
        <w:trPr>
          <w:jc w:val="center"/>
        </w:trPr>
        <w:tc>
          <w:tcPr>
            <w:tcW w:w="1422" w:type="dxa"/>
            <w:vMerge/>
            <w:tcMar>
              <w:top w:w="150" w:type="dxa"/>
              <w:left w:w="0" w:type="dxa"/>
              <w:bottom w:w="150" w:type="dxa"/>
              <w:right w:w="24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c>
          <w:tcPr>
            <w:tcW w:w="0" w:type="auto"/>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Y1_5</w:t>
            </w:r>
          </w:p>
        </w:tc>
        <w:tc>
          <w:tcPr>
            <w:tcW w:w="4447" w:type="dxa"/>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The number of defective products can be reduced annually.</w:t>
            </w:r>
          </w:p>
        </w:tc>
        <w:tc>
          <w:tcPr>
            <w:tcW w:w="0" w:type="auto"/>
            <w:tcMar>
              <w:top w:w="150" w:type="dxa"/>
              <w:left w:w="240" w:type="dxa"/>
              <w:bottom w:w="150" w:type="dxa"/>
              <w:right w:w="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r>
      <w:tr w:rsidR="00460557" w:rsidTr="00CB6AA0">
        <w:trPr>
          <w:jc w:val="center"/>
        </w:trPr>
        <w:tc>
          <w:tcPr>
            <w:tcW w:w="1422" w:type="dxa"/>
            <w:vMerge/>
            <w:tcMar>
              <w:top w:w="150" w:type="dxa"/>
              <w:left w:w="0" w:type="dxa"/>
              <w:bottom w:w="150" w:type="dxa"/>
              <w:right w:w="24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c>
          <w:tcPr>
            <w:tcW w:w="0" w:type="auto"/>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Y1_6</w:t>
            </w:r>
          </w:p>
        </w:tc>
        <w:tc>
          <w:tcPr>
            <w:tcW w:w="4447" w:type="dxa"/>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The number of products rejected by markets can be reduced annually.</w:t>
            </w:r>
          </w:p>
        </w:tc>
        <w:tc>
          <w:tcPr>
            <w:tcW w:w="0" w:type="auto"/>
            <w:tcMar>
              <w:top w:w="150" w:type="dxa"/>
              <w:left w:w="240" w:type="dxa"/>
              <w:bottom w:w="150" w:type="dxa"/>
              <w:right w:w="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r>
      <w:tr w:rsidR="00460557" w:rsidTr="00CB6AA0">
        <w:trPr>
          <w:jc w:val="center"/>
        </w:trPr>
        <w:tc>
          <w:tcPr>
            <w:tcW w:w="1422" w:type="dxa"/>
            <w:vMerge/>
            <w:tcMar>
              <w:top w:w="150" w:type="dxa"/>
              <w:left w:w="0" w:type="dxa"/>
              <w:bottom w:w="150" w:type="dxa"/>
              <w:right w:w="24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c>
          <w:tcPr>
            <w:tcW w:w="0" w:type="auto"/>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Y1_7</w:t>
            </w:r>
          </w:p>
        </w:tc>
        <w:tc>
          <w:tcPr>
            <w:tcW w:w="4447" w:type="dxa"/>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Ability to respond appropriately to market demand changes*</w:t>
            </w:r>
          </w:p>
        </w:tc>
        <w:tc>
          <w:tcPr>
            <w:tcW w:w="0" w:type="auto"/>
            <w:tcMar>
              <w:top w:w="150" w:type="dxa"/>
              <w:left w:w="240" w:type="dxa"/>
              <w:bottom w:w="150" w:type="dxa"/>
              <w:right w:w="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r>
      <w:tr w:rsidR="00460557" w:rsidTr="00CB6AA0">
        <w:trPr>
          <w:jc w:val="center"/>
        </w:trPr>
        <w:tc>
          <w:tcPr>
            <w:tcW w:w="1422" w:type="dxa"/>
            <w:vMerge w:val="restart"/>
            <w:tcMar>
              <w:top w:w="150" w:type="dxa"/>
              <w:left w:w="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b/>
                <w:bCs/>
                <w:color w:val="000000"/>
                <w:lang w:val="id-ID"/>
              </w:rPr>
              <w:t>Quantity</w:t>
            </w:r>
          </w:p>
        </w:tc>
        <w:tc>
          <w:tcPr>
            <w:tcW w:w="0" w:type="auto"/>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Y2_1</w:t>
            </w:r>
          </w:p>
        </w:tc>
        <w:tc>
          <w:tcPr>
            <w:tcW w:w="4447" w:type="dxa"/>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Increase in the number of goods produced in the past year</w:t>
            </w:r>
          </w:p>
        </w:tc>
        <w:tc>
          <w:tcPr>
            <w:tcW w:w="0" w:type="auto"/>
            <w:tcMar>
              <w:top w:w="150" w:type="dxa"/>
              <w:left w:w="240" w:type="dxa"/>
              <w:bottom w:w="150" w:type="dxa"/>
              <w:right w:w="0" w:type="dxa"/>
            </w:tcMar>
            <w:vAlign w:val="center"/>
            <w:hideMark/>
          </w:tcPr>
          <w:sdt>
            <w:sdtPr>
              <w:rPr>
                <w:rFonts w:ascii="Cambria" w:eastAsia="Cambria" w:hAnsi="Cambria" w:cs="Cambria"/>
                <w:color w:val="000000"/>
                <w:lang w:val="id-ID"/>
              </w:rPr>
              <w:tag w:val="MENDELEY_CITATION_v3_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"/>
              <w:id w:val="564524192"/>
              <w:placeholder>
                <w:docPart w:val="349A15EBB5F440CF8F5008C0BBAE3E9C"/>
              </w:placeholder>
            </w:sdtPr>
            <w:sdtEndPr/>
            <w:sdtContent>
              <w:p w:rsidR="005A7613" w:rsidRPr="003A6535" w:rsidRDefault="00CB6AA0" w:rsidP="00846953">
                <w:pPr>
                  <w:ind w:left="284"/>
                  <w:jc w:val="both"/>
                  <w:rPr>
                    <w:rFonts w:asciiTheme="minorHAnsi" w:eastAsia="Cambria" w:hAnsiTheme="minorHAnsi" w:cs="Cambria"/>
                    <w:color w:val="000000"/>
                    <w:lang w:val="id-ID"/>
                  </w:rPr>
                </w:pPr>
                <w:r w:rsidRPr="003A6535">
                  <w:rPr>
                    <w:rFonts w:ascii="Cambria" w:eastAsia="Cambria" w:hAnsi="Cambria" w:cs="Cambria"/>
                    <w:color w:val="000000"/>
                    <w:lang w:val="id-ID"/>
                  </w:rPr>
                  <w:t>(Kasmir, 2016)</w:t>
                </w:r>
              </w:p>
            </w:sdtContent>
          </w:sdt>
        </w:tc>
      </w:tr>
      <w:tr w:rsidR="00460557" w:rsidTr="00CB6AA0">
        <w:trPr>
          <w:jc w:val="center"/>
        </w:trPr>
        <w:tc>
          <w:tcPr>
            <w:tcW w:w="1422" w:type="dxa"/>
            <w:vMerge/>
            <w:tcMar>
              <w:top w:w="150" w:type="dxa"/>
              <w:left w:w="0" w:type="dxa"/>
              <w:bottom w:w="150" w:type="dxa"/>
              <w:right w:w="24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c>
          <w:tcPr>
            <w:tcW w:w="0" w:type="auto"/>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Y2_2</w:t>
            </w:r>
          </w:p>
        </w:tc>
        <w:tc>
          <w:tcPr>
            <w:tcW w:w="4447" w:type="dxa"/>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Increase in the number of goods sold in the past year</w:t>
            </w:r>
          </w:p>
        </w:tc>
        <w:tc>
          <w:tcPr>
            <w:tcW w:w="0" w:type="auto"/>
            <w:tcMar>
              <w:top w:w="150" w:type="dxa"/>
              <w:left w:w="240" w:type="dxa"/>
              <w:bottom w:w="150" w:type="dxa"/>
              <w:right w:w="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r>
      <w:tr w:rsidR="00460557" w:rsidTr="00CB6AA0">
        <w:trPr>
          <w:jc w:val="center"/>
        </w:trPr>
        <w:tc>
          <w:tcPr>
            <w:tcW w:w="1422" w:type="dxa"/>
            <w:vMerge/>
            <w:tcMar>
              <w:top w:w="150" w:type="dxa"/>
              <w:left w:w="0" w:type="dxa"/>
              <w:bottom w:w="150" w:type="dxa"/>
              <w:right w:w="24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c>
          <w:tcPr>
            <w:tcW w:w="0" w:type="auto"/>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Y2_3</w:t>
            </w:r>
          </w:p>
        </w:tc>
        <w:tc>
          <w:tcPr>
            <w:tcW w:w="4447" w:type="dxa"/>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Product demand from markets and customers has increased annually.</w:t>
            </w:r>
          </w:p>
        </w:tc>
        <w:tc>
          <w:tcPr>
            <w:tcW w:w="0" w:type="auto"/>
            <w:tcMar>
              <w:top w:w="150" w:type="dxa"/>
              <w:left w:w="240" w:type="dxa"/>
              <w:bottom w:w="150" w:type="dxa"/>
              <w:right w:w="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r>
      <w:tr w:rsidR="00460557" w:rsidTr="00CB6AA0">
        <w:trPr>
          <w:jc w:val="center"/>
        </w:trPr>
        <w:tc>
          <w:tcPr>
            <w:tcW w:w="1422" w:type="dxa"/>
            <w:vMerge/>
            <w:tcMar>
              <w:top w:w="150" w:type="dxa"/>
              <w:left w:w="0" w:type="dxa"/>
              <w:bottom w:w="150" w:type="dxa"/>
              <w:right w:w="24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c>
          <w:tcPr>
            <w:tcW w:w="0" w:type="auto"/>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Y2_4</w:t>
            </w:r>
          </w:p>
        </w:tc>
        <w:tc>
          <w:tcPr>
            <w:tcW w:w="4447" w:type="dxa"/>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Business has experienced annual growth in volume.</w:t>
            </w:r>
          </w:p>
        </w:tc>
        <w:tc>
          <w:tcPr>
            <w:tcW w:w="0" w:type="auto"/>
            <w:tcMar>
              <w:top w:w="150" w:type="dxa"/>
              <w:left w:w="240" w:type="dxa"/>
              <w:bottom w:w="150" w:type="dxa"/>
              <w:right w:w="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r>
      <w:tr w:rsidR="00460557" w:rsidTr="00CB6AA0">
        <w:trPr>
          <w:jc w:val="center"/>
        </w:trPr>
        <w:tc>
          <w:tcPr>
            <w:tcW w:w="1422" w:type="dxa"/>
            <w:vMerge w:val="restart"/>
            <w:tcMar>
              <w:top w:w="150" w:type="dxa"/>
              <w:left w:w="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b/>
                <w:bCs/>
                <w:color w:val="000000"/>
                <w:lang w:val="id-ID"/>
              </w:rPr>
              <w:lastRenderedPageBreak/>
              <w:t>Cost Efficiency</w:t>
            </w:r>
          </w:p>
        </w:tc>
        <w:tc>
          <w:tcPr>
            <w:tcW w:w="0" w:type="auto"/>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Y3_1</w:t>
            </w:r>
          </w:p>
        </w:tc>
        <w:tc>
          <w:tcPr>
            <w:tcW w:w="4447" w:type="dxa"/>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Production costs can be reduced annually</w:t>
            </w:r>
          </w:p>
        </w:tc>
        <w:tc>
          <w:tcPr>
            <w:tcW w:w="0" w:type="auto"/>
            <w:tcMar>
              <w:top w:w="150" w:type="dxa"/>
              <w:left w:w="240" w:type="dxa"/>
              <w:bottom w:w="150" w:type="dxa"/>
              <w:right w:w="0" w:type="dxa"/>
            </w:tcMar>
            <w:vAlign w:val="center"/>
            <w:hideMark/>
          </w:tcPr>
          <w:sdt>
            <w:sdtPr>
              <w:rPr>
                <w:rFonts w:ascii="Cambria" w:eastAsia="Cambria" w:hAnsi="Cambria" w:cs="Cambria"/>
                <w:color w:val="000000"/>
                <w:lang w:val="id-ID"/>
              </w:rPr>
              <w:tag w:val="MENDELEY_CITATION_v3_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"/>
              <w:id w:val="1050185540"/>
              <w:placeholder>
                <w:docPart w:val="349A15EBB5F440CF8F5008C0BBAE3E9C"/>
              </w:placeholder>
            </w:sdtPr>
            <w:sdtEndPr/>
            <w:sdtContent>
              <w:p w:rsidR="005A7613" w:rsidRPr="003A6535" w:rsidRDefault="00CB6AA0" w:rsidP="00846953">
                <w:pPr>
                  <w:ind w:left="284"/>
                  <w:jc w:val="both"/>
                  <w:rPr>
                    <w:rFonts w:asciiTheme="minorHAnsi" w:eastAsia="Cambria" w:hAnsiTheme="minorHAnsi" w:cs="Cambria"/>
                    <w:color w:val="000000"/>
                    <w:lang w:val="id-ID"/>
                  </w:rPr>
                </w:pPr>
                <w:r w:rsidRPr="003A6535">
                  <w:rPr>
                    <w:rFonts w:ascii="Cambria" w:eastAsia="Cambria" w:hAnsi="Cambria" w:cs="Cambria"/>
                    <w:color w:val="000000"/>
                    <w:lang w:val="id-ID"/>
                  </w:rPr>
                  <w:t>(Kasmir, 2016)</w:t>
                </w:r>
              </w:p>
            </w:sdtContent>
          </w:sdt>
        </w:tc>
      </w:tr>
      <w:tr w:rsidR="00460557" w:rsidTr="00CB6AA0">
        <w:trPr>
          <w:jc w:val="center"/>
        </w:trPr>
        <w:tc>
          <w:tcPr>
            <w:tcW w:w="1422" w:type="dxa"/>
            <w:vMerge/>
            <w:tcMar>
              <w:top w:w="150" w:type="dxa"/>
              <w:left w:w="0" w:type="dxa"/>
              <w:bottom w:w="150" w:type="dxa"/>
              <w:right w:w="24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c>
          <w:tcPr>
            <w:tcW w:w="0" w:type="auto"/>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Y3_2</w:t>
            </w:r>
          </w:p>
        </w:tc>
        <w:tc>
          <w:tcPr>
            <w:tcW w:w="4447" w:type="dxa"/>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Reducing production costs is important for continuous growth</w:t>
            </w:r>
          </w:p>
        </w:tc>
        <w:tc>
          <w:tcPr>
            <w:tcW w:w="0" w:type="auto"/>
            <w:tcMar>
              <w:top w:w="150" w:type="dxa"/>
              <w:left w:w="240" w:type="dxa"/>
              <w:bottom w:w="150" w:type="dxa"/>
              <w:right w:w="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r>
      <w:tr w:rsidR="00460557" w:rsidTr="00CB6AA0">
        <w:trPr>
          <w:jc w:val="center"/>
        </w:trPr>
        <w:tc>
          <w:tcPr>
            <w:tcW w:w="1422" w:type="dxa"/>
            <w:vMerge/>
            <w:tcMar>
              <w:top w:w="150" w:type="dxa"/>
              <w:left w:w="0" w:type="dxa"/>
              <w:bottom w:w="150" w:type="dxa"/>
              <w:right w:w="24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c>
          <w:tcPr>
            <w:tcW w:w="0" w:type="auto"/>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Y3_3</w:t>
            </w:r>
          </w:p>
        </w:tc>
        <w:tc>
          <w:tcPr>
            <w:tcW w:w="4447" w:type="dxa"/>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Effective use of production costs through marketing reduces costs.</w:t>
            </w:r>
          </w:p>
        </w:tc>
        <w:tc>
          <w:tcPr>
            <w:tcW w:w="0" w:type="auto"/>
            <w:tcMar>
              <w:top w:w="150" w:type="dxa"/>
              <w:left w:w="240" w:type="dxa"/>
              <w:bottom w:w="150" w:type="dxa"/>
              <w:right w:w="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r>
      <w:tr w:rsidR="00460557" w:rsidTr="00CB6AA0">
        <w:trPr>
          <w:jc w:val="center"/>
        </w:trPr>
        <w:tc>
          <w:tcPr>
            <w:tcW w:w="1422" w:type="dxa"/>
            <w:vMerge w:val="restart"/>
            <w:tcMar>
              <w:top w:w="150" w:type="dxa"/>
              <w:left w:w="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b/>
                <w:bCs/>
                <w:color w:val="000000"/>
                <w:lang w:val="id-ID"/>
              </w:rPr>
              <w:t>Inter-employee Relations</w:t>
            </w:r>
          </w:p>
        </w:tc>
        <w:tc>
          <w:tcPr>
            <w:tcW w:w="0" w:type="auto"/>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Y4_1</w:t>
            </w:r>
          </w:p>
        </w:tc>
        <w:tc>
          <w:tcPr>
            <w:tcW w:w="4447" w:type="dxa"/>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Ability to cooperate with colleagues</w:t>
            </w:r>
          </w:p>
        </w:tc>
        <w:tc>
          <w:tcPr>
            <w:tcW w:w="0" w:type="auto"/>
            <w:tcMar>
              <w:top w:w="150" w:type="dxa"/>
              <w:left w:w="240" w:type="dxa"/>
              <w:bottom w:w="150" w:type="dxa"/>
              <w:right w:w="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r>
      <w:tr w:rsidR="00460557" w:rsidTr="00CB6AA0">
        <w:trPr>
          <w:jc w:val="center"/>
        </w:trPr>
        <w:tc>
          <w:tcPr>
            <w:tcW w:w="1422" w:type="dxa"/>
            <w:vMerge/>
            <w:tcMar>
              <w:top w:w="150" w:type="dxa"/>
              <w:left w:w="0" w:type="dxa"/>
              <w:bottom w:w="150" w:type="dxa"/>
              <w:right w:w="24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c>
          <w:tcPr>
            <w:tcW w:w="0" w:type="auto"/>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Y4_2</w:t>
            </w:r>
          </w:p>
        </w:tc>
        <w:tc>
          <w:tcPr>
            <w:tcW w:w="4447" w:type="dxa"/>
            <w:tcMar>
              <w:top w:w="150" w:type="dxa"/>
              <w:left w:w="240" w:type="dxa"/>
              <w:bottom w:w="150" w:type="dxa"/>
              <w:right w:w="240" w:type="dxa"/>
            </w:tcMar>
            <w:vAlign w:val="center"/>
            <w:hideMark/>
          </w:tcPr>
          <w:p w:rsidR="005A7613" w:rsidRPr="003A6535" w:rsidRDefault="00CB6AA0" w:rsidP="00846953">
            <w:pPr>
              <w:ind w:left="284"/>
              <w:jc w:val="both"/>
              <w:rPr>
                <w:rFonts w:asciiTheme="minorHAnsi" w:eastAsia="Cambria" w:hAnsiTheme="minorHAnsi" w:cs="Cambria"/>
                <w:color w:val="000000"/>
                <w:lang w:val="id-ID"/>
              </w:rPr>
            </w:pPr>
            <w:r w:rsidRPr="003A6535">
              <w:rPr>
                <w:rFonts w:asciiTheme="minorHAnsi" w:eastAsia="Cambria" w:hAnsiTheme="minorHAnsi" w:cs="Cambria"/>
                <w:color w:val="000000"/>
                <w:lang w:val="id-ID"/>
              </w:rPr>
              <w:t>Willingness to accept input from colleagues</w:t>
            </w:r>
          </w:p>
        </w:tc>
        <w:tc>
          <w:tcPr>
            <w:tcW w:w="0" w:type="auto"/>
            <w:tcMar>
              <w:top w:w="150" w:type="dxa"/>
              <w:left w:w="240" w:type="dxa"/>
              <w:bottom w:w="150" w:type="dxa"/>
              <w:right w:w="0" w:type="dxa"/>
            </w:tcMar>
            <w:vAlign w:val="center"/>
            <w:hideMark/>
          </w:tcPr>
          <w:p w:rsidR="005A7613" w:rsidRPr="003A6535" w:rsidRDefault="005A7613" w:rsidP="00846953">
            <w:pPr>
              <w:ind w:left="284"/>
              <w:jc w:val="both"/>
              <w:rPr>
                <w:rFonts w:asciiTheme="minorHAnsi" w:eastAsia="Cambria" w:hAnsiTheme="minorHAnsi" w:cs="Cambria"/>
                <w:color w:val="000000"/>
                <w:lang w:val="id-ID"/>
              </w:rPr>
            </w:pPr>
          </w:p>
        </w:tc>
      </w:tr>
    </w:tbl>
    <w:p w:rsidR="005A7613" w:rsidRDefault="00CB6AA0" w:rsidP="003A6535">
      <w:pPr>
        <w:spacing w:before="120" w:after="60"/>
        <w:jc w:val="both"/>
        <w:rPr>
          <w:rFonts w:ascii="Cambria" w:eastAsia="Cambria" w:hAnsi="Cambria" w:cs="Cambria"/>
          <w:b/>
          <w:bCs/>
          <w:color w:val="000000"/>
          <w:sz w:val="24"/>
          <w:szCs w:val="24"/>
          <w:lang w:val="id-ID"/>
        </w:rPr>
      </w:pPr>
      <w:r w:rsidRPr="00192DE7">
        <w:rPr>
          <w:rFonts w:ascii="Cambria" w:eastAsia="Cambria" w:hAnsi="Cambria" w:cs="Cambria"/>
          <w:b/>
          <w:bCs/>
          <w:color w:val="000000"/>
          <w:sz w:val="24"/>
          <w:szCs w:val="24"/>
          <w:lang w:val="id-ID"/>
        </w:rPr>
        <w:t>Data Analysis Technique</w:t>
      </w:r>
    </w:p>
    <w:p w:rsidR="005A7613" w:rsidRDefault="00CB6AA0" w:rsidP="00CB6AA0">
      <w:pPr>
        <w:spacing w:before="60" w:after="60"/>
        <w:jc w:val="both"/>
        <w:rPr>
          <w:rFonts w:ascii="Cambria" w:eastAsia="Cambria" w:hAnsi="Cambria" w:cs="Cambria"/>
          <w:b/>
          <w:bCs/>
          <w:color w:val="000000"/>
          <w:sz w:val="24"/>
          <w:szCs w:val="24"/>
          <w:lang w:val="id-ID"/>
        </w:rPr>
      </w:pPr>
      <w:r w:rsidRPr="00192DE7">
        <w:rPr>
          <w:rFonts w:ascii="Cambria" w:eastAsia="Cambria" w:hAnsi="Cambria" w:cs="Cambria"/>
          <w:b/>
          <w:bCs/>
          <w:color w:val="000000"/>
          <w:sz w:val="24"/>
          <w:szCs w:val="24"/>
          <w:lang w:val="id-ID"/>
        </w:rPr>
        <w:t>Descriptive Analysis</w:t>
      </w:r>
    </w:p>
    <w:p w:rsidR="005A7613" w:rsidRPr="00192DE7" w:rsidRDefault="00CB6AA0" w:rsidP="00CB6AA0">
      <w:pPr>
        <w:ind w:firstLine="567"/>
        <w:jc w:val="both"/>
        <w:rPr>
          <w:rFonts w:ascii="Cambria" w:eastAsia="Cambria" w:hAnsi="Cambria" w:cs="Cambria"/>
          <w:color w:val="000000"/>
          <w:sz w:val="24"/>
          <w:szCs w:val="24"/>
          <w:lang w:val="id-ID"/>
        </w:rPr>
      </w:pPr>
      <w:r w:rsidRPr="00192DE7">
        <w:rPr>
          <w:rFonts w:ascii="Cambria" w:eastAsia="Cambria" w:hAnsi="Cambria" w:cs="Cambria"/>
          <w:color w:val="000000"/>
          <w:sz w:val="24"/>
          <w:szCs w:val="24"/>
          <w:lang w:val="id-ID"/>
        </w:rPr>
        <w:t>Financial literacy levels were categorized using Chen &amp; Volpe (1998):</w:t>
      </w:r>
    </w:p>
    <w:p w:rsidR="005A7613" w:rsidRPr="00192DE7" w:rsidRDefault="00CB6AA0" w:rsidP="003A6535">
      <w:pPr>
        <w:spacing w:before="60" w:after="60"/>
        <w:ind w:left="284"/>
        <w:jc w:val="center"/>
        <w:rPr>
          <w:rFonts w:ascii="Cambria" w:eastAsia="Cambria" w:hAnsi="Cambria" w:cs="Cambria"/>
          <w:color w:val="000000"/>
          <w:sz w:val="24"/>
          <w:szCs w:val="24"/>
          <w:lang w:val="id-ID"/>
        </w:rPr>
      </w:pPr>
      <w:r w:rsidRPr="00192DE7">
        <w:rPr>
          <w:rFonts w:ascii="Cambria" w:eastAsia="Cambria" w:hAnsi="Cambria" w:cs="Cambria"/>
          <w:b/>
          <w:bCs/>
          <w:color w:val="000000"/>
          <w:sz w:val="24"/>
          <w:szCs w:val="24"/>
          <w:lang w:val="id-ID"/>
        </w:rPr>
        <w:t xml:space="preserve">Table </w:t>
      </w:r>
      <w:r>
        <w:rPr>
          <w:rFonts w:ascii="Cambria" w:eastAsia="Cambria" w:hAnsi="Cambria" w:cs="Cambria"/>
          <w:b/>
          <w:bCs/>
          <w:color w:val="000000"/>
          <w:sz w:val="24"/>
          <w:szCs w:val="24"/>
          <w:lang w:val="id-ID"/>
        </w:rPr>
        <w:t>6</w:t>
      </w:r>
      <w:r w:rsidRPr="00192DE7">
        <w:rPr>
          <w:rFonts w:ascii="Cambria" w:eastAsia="Cambria" w:hAnsi="Cambria" w:cs="Cambria"/>
          <w:b/>
          <w:bCs/>
          <w:color w:val="000000"/>
          <w:sz w:val="24"/>
          <w:szCs w:val="24"/>
          <w:lang w:val="id-ID"/>
        </w:rPr>
        <w:t>.</w:t>
      </w:r>
      <w:r w:rsidRPr="00192DE7">
        <w:rPr>
          <w:rFonts w:ascii="Cambria" w:eastAsia="Cambria" w:hAnsi="Cambria" w:cs="Cambria"/>
          <w:color w:val="000000"/>
          <w:sz w:val="24"/>
          <w:szCs w:val="24"/>
          <w:lang w:val="id-ID"/>
        </w:rPr>
        <w:t> Financial Literacy Categorization</w:t>
      </w:r>
    </w:p>
    <w:tbl>
      <w:tblPr>
        <w:tblW w:w="5949" w:type="dxa"/>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823"/>
        <w:gridCol w:w="2126"/>
      </w:tblGrid>
      <w:tr w:rsidR="00460557" w:rsidTr="003A6535">
        <w:trPr>
          <w:trHeight w:val="276"/>
          <w:tblHeader/>
          <w:jc w:val="center"/>
        </w:trPr>
        <w:tc>
          <w:tcPr>
            <w:tcW w:w="3823" w:type="dxa"/>
            <w:tcBorders>
              <w:top w:val="single" w:sz="4" w:space="0" w:color="auto"/>
              <w:bottom w:val="single" w:sz="4" w:space="0" w:color="auto"/>
            </w:tcBorders>
            <w:tcMar>
              <w:top w:w="150" w:type="dxa"/>
              <w:left w:w="0" w:type="dxa"/>
              <w:bottom w:w="150" w:type="dxa"/>
              <w:right w:w="240" w:type="dxa"/>
            </w:tcMar>
            <w:vAlign w:val="center"/>
            <w:hideMark/>
          </w:tcPr>
          <w:p w:rsidR="005A7613" w:rsidRPr="003A6535" w:rsidRDefault="00CB6AA0" w:rsidP="00846953">
            <w:pPr>
              <w:ind w:left="284"/>
              <w:jc w:val="both"/>
              <w:rPr>
                <w:rFonts w:ascii="Cambria" w:eastAsia="Cambria" w:hAnsi="Cambria" w:cs="Cambria"/>
                <w:b/>
                <w:bCs/>
                <w:color w:val="000000"/>
                <w:lang w:val="id-ID"/>
              </w:rPr>
            </w:pPr>
            <w:r w:rsidRPr="003A6535">
              <w:rPr>
                <w:rFonts w:ascii="Cambria" w:eastAsia="Cambria" w:hAnsi="Cambria" w:cs="Cambria"/>
                <w:b/>
                <w:bCs/>
                <w:color w:val="000000"/>
                <w:lang w:val="id-ID"/>
              </w:rPr>
              <w:t>Percentage of Correct Answers</w:t>
            </w:r>
          </w:p>
        </w:tc>
        <w:tc>
          <w:tcPr>
            <w:tcW w:w="2126" w:type="dxa"/>
            <w:tcBorders>
              <w:top w:val="single" w:sz="4" w:space="0" w:color="auto"/>
              <w:bottom w:val="single" w:sz="4" w:space="0" w:color="auto"/>
            </w:tcBorders>
            <w:tcMar>
              <w:top w:w="150" w:type="dxa"/>
              <w:left w:w="240" w:type="dxa"/>
              <w:bottom w:w="150" w:type="dxa"/>
              <w:right w:w="240" w:type="dxa"/>
            </w:tcMar>
            <w:vAlign w:val="center"/>
            <w:hideMark/>
          </w:tcPr>
          <w:p w:rsidR="005A7613" w:rsidRPr="003A6535" w:rsidRDefault="00CB6AA0" w:rsidP="00846953">
            <w:pPr>
              <w:ind w:left="284"/>
              <w:jc w:val="both"/>
              <w:rPr>
                <w:rFonts w:ascii="Cambria" w:eastAsia="Cambria" w:hAnsi="Cambria" w:cs="Cambria"/>
                <w:b/>
                <w:bCs/>
                <w:color w:val="000000"/>
                <w:lang w:val="id-ID"/>
              </w:rPr>
            </w:pPr>
            <w:r w:rsidRPr="003A6535">
              <w:rPr>
                <w:rFonts w:ascii="Cambria" w:eastAsia="Cambria" w:hAnsi="Cambria" w:cs="Cambria"/>
                <w:b/>
                <w:bCs/>
                <w:color w:val="000000"/>
                <w:lang w:val="id-ID"/>
              </w:rPr>
              <w:t>Category</w:t>
            </w:r>
          </w:p>
        </w:tc>
      </w:tr>
      <w:tr w:rsidR="00460557" w:rsidTr="003A6535">
        <w:trPr>
          <w:trHeight w:val="276"/>
          <w:jc w:val="center"/>
        </w:trPr>
        <w:tc>
          <w:tcPr>
            <w:tcW w:w="3823" w:type="dxa"/>
            <w:tcBorders>
              <w:top w:val="single" w:sz="4" w:space="0" w:color="auto"/>
            </w:tcBorders>
            <w:tcMar>
              <w:top w:w="150" w:type="dxa"/>
              <w:left w:w="0" w:type="dxa"/>
              <w:bottom w:w="150" w:type="dxa"/>
              <w:right w:w="240" w:type="dxa"/>
            </w:tcMar>
            <w:vAlign w:val="center"/>
            <w:hideMark/>
          </w:tcPr>
          <w:p w:rsidR="005A7613" w:rsidRPr="003A6535" w:rsidRDefault="00CB6AA0" w:rsidP="00846953">
            <w:pPr>
              <w:ind w:left="284"/>
              <w:jc w:val="both"/>
              <w:rPr>
                <w:rFonts w:ascii="Cambria" w:eastAsia="Cambria" w:hAnsi="Cambria" w:cs="Cambria"/>
                <w:color w:val="000000"/>
                <w:lang w:val="id-ID"/>
              </w:rPr>
            </w:pPr>
            <w:r w:rsidRPr="003A6535">
              <w:rPr>
                <w:rFonts w:ascii="Cambria" w:eastAsia="Cambria" w:hAnsi="Cambria" w:cs="Cambria"/>
                <w:color w:val="000000"/>
                <w:lang w:val="id-ID"/>
              </w:rPr>
              <w:t>X &lt; 60%</w:t>
            </w:r>
          </w:p>
        </w:tc>
        <w:tc>
          <w:tcPr>
            <w:tcW w:w="2126" w:type="dxa"/>
            <w:tcBorders>
              <w:top w:val="single" w:sz="4" w:space="0" w:color="auto"/>
            </w:tcBorders>
            <w:tcMar>
              <w:top w:w="150" w:type="dxa"/>
              <w:left w:w="240" w:type="dxa"/>
              <w:bottom w:w="150" w:type="dxa"/>
              <w:right w:w="0" w:type="dxa"/>
            </w:tcMar>
            <w:vAlign w:val="center"/>
            <w:hideMark/>
          </w:tcPr>
          <w:p w:rsidR="005A7613" w:rsidRPr="003A6535" w:rsidRDefault="00CB6AA0" w:rsidP="00846953">
            <w:pPr>
              <w:ind w:left="284"/>
              <w:jc w:val="both"/>
              <w:rPr>
                <w:rFonts w:ascii="Cambria" w:eastAsia="Cambria" w:hAnsi="Cambria" w:cs="Cambria"/>
                <w:color w:val="000000"/>
                <w:lang w:val="id-ID"/>
              </w:rPr>
            </w:pPr>
            <w:r w:rsidRPr="003A6535">
              <w:rPr>
                <w:rFonts w:ascii="Cambria" w:eastAsia="Cambria" w:hAnsi="Cambria" w:cs="Cambria"/>
                <w:color w:val="000000"/>
                <w:lang w:val="id-ID"/>
              </w:rPr>
              <w:t>Low</w:t>
            </w:r>
          </w:p>
        </w:tc>
      </w:tr>
      <w:tr w:rsidR="00460557" w:rsidTr="003A6535">
        <w:trPr>
          <w:trHeight w:val="276"/>
          <w:jc w:val="center"/>
        </w:trPr>
        <w:tc>
          <w:tcPr>
            <w:tcW w:w="3823" w:type="dxa"/>
            <w:tcMar>
              <w:top w:w="150" w:type="dxa"/>
              <w:left w:w="0" w:type="dxa"/>
              <w:bottom w:w="150" w:type="dxa"/>
              <w:right w:w="240" w:type="dxa"/>
            </w:tcMar>
            <w:vAlign w:val="center"/>
            <w:hideMark/>
          </w:tcPr>
          <w:p w:rsidR="005A7613" w:rsidRPr="003A6535" w:rsidRDefault="00CB6AA0" w:rsidP="00846953">
            <w:pPr>
              <w:ind w:left="284"/>
              <w:jc w:val="both"/>
              <w:rPr>
                <w:rFonts w:ascii="Cambria" w:eastAsia="Cambria" w:hAnsi="Cambria" w:cs="Cambria"/>
                <w:color w:val="000000"/>
                <w:lang w:val="id-ID"/>
              </w:rPr>
            </w:pPr>
            <w:r w:rsidRPr="003A6535">
              <w:rPr>
                <w:rFonts w:ascii="Cambria" w:eastAsia="Cambria" w:hAnsi="Cambria" w:cs="Cambria"/>
                <w:color w:val="000000"/>
                <w:lang w:val="id-ID"/>
              </w:rPr>
              <w:t>60% ≤ X &lt; 80%</w:t>
            </w:r>
          </w:p>
        </w:tc>
        <w:tc>
          <w:tcPr>
            <w:tcW w:w="2126" w:type="dxa"/>
            <w:tcMar>
              <w:top w:w="150" w:type="dxa"/>
              <w:left w:w="240" w:type="dxa"/>
              <w:bottom w:w="150" w:type="dxa"/>
              <w:right w:w="0" w:type="dxa"/>
            </w:tcMar>
            <w:vAlign w:val="center"/>
            <w:hideMark/>
          </w:tcPr>
          <w:p w:rsidR="005A7613" w:rsidRPr="003A6535" w:rsidRDefault="00CB6AA0" w:rsidP="00846953">
            <w:pPr>
              <w:ind w:left="284"/>
              <w:jc w:val="both"/>
              <w:rPr>
                <w:rFonts w:ascii="Cambria" w:eastAsia="Cambria" w:hAnsi="Cambria" w:cs="Cambria"/>
                <w:color w:val="000000"/>
                <w:lang w:val="id-ID"/>
              </w:rPr>
            </w:pPr>
            <w:r w:rsidRPr="003A6535">
              <w:rPr>
                <w:rFonts w:ascii="Cambria" w:eastAsia="Cambria" w:hAnsi="Cambria" w:cs="Cambria"/>
                <w:color w:val="000000"/>
                <w:lang w:val="id-ID"/>
              </w:rPr>
              <w:t>Medium</w:t>
            </w:r>
          </w:p>
        </w:tc>
      </w:tr>
      <w:tr w:rsidR="00460557" w:rsidTr="003A6535">
        <w:trPr>
          <w:trHeight w:val="286"/>
          <w:jc w:val="center"/>
        </w:trPr>
        <w:tc>
          <w:tcPr>
            <w:tcW w:w="3823" w:type="dxa"/>
            <w:tcMar>
              <w:top w:w="150" w:type="dxa"/>
              <w:left w:w="0" w:type="dxa"/>
              <w:bottom w:w="150" w:type="dxa"/>
              <w:right w:w="240" w:type="dxa"/>
            </w:tcMar>
            <w:vAlign w:val="center"/>
            <w:hideMark/>
          </w:tcPr>
          <w:p w:rsidR="005A7613" w:rsidRPr="003A6535" w:rsidRDefault="00CB6AA0" w:rsidP="00846953">
            <w:pPr>
              <w:ind w:left="284"/>
              <w:jc w:val="both"/>
              <w:rPr>
                <w:rFonts w:ascii="Cambria" w:eastAsia="Cambria" w:hAnsi="Cambria" w:cs="Cambria"/>
                <w:color w:val="000000"/>
                <w:lang w:val="id-ID"/>
              </w:rPr>
            </w:pPr>
            <w:r w:rsidRPr="003A6535">
              <w:rPr>
                <w:rFonts w:ascii="Cambria" w:eastAsia="Cambria" w:hAnsi="Cambria" w:cs="Cambria"/>
                <w:color w:val="000000"/>
                <w:lang w:val="id-ID"/>
              </w:rPr>
              <w:t>X ≥ 80%</w:t>
            </w:r>
          </w:p>
        </w:tc>
        <w:tc>
          <w:tcPr>
            <w:tcW w:w="2126" w:type="dxa"/>
            <w:tcMar>
              <w:top w:w="150" w:type="dxa"/>
              <w:left w:w="240" w:type="dxa"/>
              <w:bottom w:w="150" w:type="dxa"/>
              <w:right w:w="0" w:type="dxa"/>
            </w:tcMar>
            <w:vAlign w:val="center"/>
            <w:hideMark/>
          </w:tcPr>
          <w:p w:rsidR="005A7613" w:rsidRPr="003A6535" w:rsidRDefault="00CB6AA0" w:rsidP="00846953">
            <w:pPr>
              <w:ind w:left="284"/>
              <w:jc w:val="both"/>
              <w:rPr>
                <w:rFonts w:ascii="Cambria" w:eastAsia="Cambria" w:hAnsi="Cambria" w:cs="Cambria"/>
                <w:color w:val="000000"/>
                <w:lang w:val="id-ID"/>
              </w:rPr>
            </w:pPr>
            <w:r w:rsidRPr="003A6535">
              <w:rPr>
                <w:rFonts w:ascii="Cambria" w:eastAsia="Cambria" w:hAnsi="Cambria" w:cs="Cambria"/>
                <w:color w:val="000000"/>
                <w:lang w:val="id-ID"/>
              </w:rPr>
              <w:t>High</w:t>
            </w:r>
          </w:p>
        </w:tc>
      </w:tr>
    </w:tbl>
    <w:p w:rsidR="005A7613" w:rsidRPr="00CB6AA0" w:rsidRDefault="00CB6AA0" w:rsidP="005A7613">
      <w:pPr>
        <w:ind w:left="720" w:firstLine="720"/>
        <w:jc w:val="both"/>
        <w:rPr>
          <w:rFonts w:ascii="Cambria" w:eastAsia="Cambria" w:hAnsi="Cambria" w:cs="Cambria"/>
          <w:bCs/>
          <w:i/>
          <w:color w:val="000000"/>
          <w:sz w:val="22"/>
          <w:szCs w:val="22"/>
          <w:lang w:val="en-US"/>
        </w:rPr>
      </w:pPr>
      <w:r w:rsidRPr="00CB6AA0">
        <w:rPr>
          <w:rFonts w:ascii="Cambria" w:eastAsia="Cambria" w:hAnsi="Cambria" w:cs="Cambria"/>
          <w:bCs/>
          <w:i/>
          <w:color w:val="000000"/>
          <w:sz w:val="22"/>
          <w:szCs w:val="22"/>
          <w:lang w:val="en-US"/>
        </w:rPr>
        <w:t xml:space="preserve">Source: </w:t>
      </w:r>
      <w:sdt>
        <w:sdtPr>
          <w:rPr>
            <w:rFonts w:ascii="Cambria" w:eastAsia="Cambria" w:hAnsi="Cambria" w:cs="Cambria"/>
            <w:bCs/>
            <w:i/>
            <w:color w:val="000000"/>
            <w:sz w:val="22"/>
            <w:szCs w:val="22"/>
            <w:lang w:val="en-US"/>
          </w:rPr>
          <w:tag w:val="MENDELEY_CITATION_v3_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"/>
          <w:id w:val="304048687"/>
          <w:placeholder>
            <w:docPart w:val="349A15EBB5F440CF8F5008C0BBAE3E9C"/>
          </w:placeholder>
        </w:sdtPr>
        <w:sdtEndPr/>
        <w:sdtContent>
          <w:r w:rsidRPr="00CB6AA0">
            <w:rPr>
              <w:rFonts w:ascii="Cambria" w:hAnsi="Cambria"/>
              <w:i/>
              <w:color w:val="000000"/>
              <w:sz w:val="22"/>
              <w:szCs w:val="22"/>
            </w:rPr>
            <w:t>(Chen &amp; Volpe, 1998)</w:t>
          </w:r>
        </w:sdtContent>
      </w:sdt>
    </w:p>
    <w:p w:rsidR="005A7613" w:rsidRDefault="00CB6AA0" w:rsidP="00CB6AA0">
      <w:pPr>
        <w:spacing w:before="120" w:after="60"/>
        <w:jc w:val="both"/>
        <w:rPr>
          <w:rFonts w:ascii="Cambria" w:eastAsia="Cambria" w:hAnsi="Cambria" w:cs="Cambria"/>
          <w:b/>
          <w:bCs/>
          <w:color w:val="000000"/>
          <w:sz w:val="24"/>
          <w:szCs w:val="24"/>
          <w:lang w:val="id-ID"/>
        </w:rPr>
      </w:pPr>
      <w:r w:rsidRPr="00192DE7">
        <w:rPr>
          <w:rFonts w:ascii="Cambria" w:eastAsia="Cambria" w:hAnsi="Cambria" w:cs="Cambria"/>
          <w:b/>
          <w:bCs/>
          <w:color w:val="000000"/>
          <w:sz w:val="24"/>
          <w:szCs w:val="24"/>
          <w:lang w:val="id-ID"/>
        </w:rPr>
        <w:t>Partial Least Squares Structural Equation Modeling (PLS-SEM)</w:t>
      </w:r>
    </w:p>
    <w:p w:rsidR="005A7613" w:rsidRDefault="00CB6AA0" w:rsidP="00CB6AA0">
      <w:pPr>
        <w:ind w:firstLine="567"/>
        <w:jc w:val="both"/>
        <w:rPr>
          <w:rFonts w:ascii="Cambria" w:eastAsia="Cambria" w:hAnsi="Cambria" w:cs="Cambria"/>
          <w:b/>
          <w:bCs/>
          <w:color w:val="000000"/>
          <w:sz w:val="24"/>
          <w:szCs w:val="24"/>
          <w:lang w:val="id-ID"/>
        </w:rPr>
      </w:pPr>
      <w:r w:rsidRPr="00192DE7">
        <w:rPr>
          <w:rFonts w:ascii="Cambria" w:eastAsia="Cambria" w:hAnsi="Cambria" w:cs="Cambria"/>
          <w:color w:val="000000"/>
          <w:sz w:val="24"/>
          <w:szCs w:val="24"/>
          <w:lang w:val="id-ID"/>
        </w:rPr>
        <w:t xml:space="preserve">This study employs PLS-SEM using SmartPLS software. PLS-SEM was selected based on three main considerations </w:t>
      </w:r>
      <w:sdt>
        <w:sdtPr>
          <w:rPr>
            <w:rFonts w:ascii="Cambria" w:eastAsia="Cambria" w:hAnsi="Cambria" w:cs="Cambria"/>
            <w:color w:val="000000"/>
            <w:sz w:val="24"/>
            <w:szCs w:val="24"/>
            <w:lang w:val="id-ID"/>
          </w:rPr>
          <w:tag w:val="MENDELEY_CITATION_v3_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"/>
          <w:id w:val="203143195"/>
          <w:placeholder>
            <w:docPart w:val="349A15EBB5F440CF8F5008C0BBAE3E9C"/>
          </w:placeholder>
        </w:sdtPr>
        <w:sdtEndPr/>
        <w:sdtContent>
          <w:r w:rsidRPr="00DE1AA2">
            <w:rPr>
              <w:rFonts w:ascii="Cambria" w:eastAsia="Cambria" w:hAnsi="Cambria" w:cs="Cambria"/>
              <w:color w:val="000000"/>
              <w:sz w:val="24"/>
              <w:szCs w:val="24"/>
              <w:lang w:val="id-ID"/>
            </w:rPr>
            <w:t>(Hair, Risher, et al., 2019)</w:t>
          </w:r>
        </w:sdtContent>
      </w:sdt>
      <w:r w:rsidRPr="00192DE7">
        <w:rPr>
          <w:rFonts w:ascii="Cambria" w:eastAsia="Cambria" w:hAnsi="Cambria" w:cs="Cambria"/>
          <w:color w:val="000000"/>
          <w:sz w:val="24"/>
          <w:szCs w:val="24"/>
          <w:lang w:val="id-ID"/>
        </w:rPr>
        <w:t>:</w:t>
      </w:r>
      <w:r>
        <w:rPr>
          <w:rFonts w:ascii="Cambria" w:eastAsia="Cambria" w:hAnsi="Cambria" w:cs="Cambria"/>
          <w:color w:val="000000"/>
          <w:sz w:val="24"/>
          <w:szCs w:val="24"/>
          <w:lang w:val="id-ID"/>
        </w:rPr>
        <w:t xml:space="preserve"> </w:t>
      </w:r>
    </w:p>
    <w:p w:rsidR="005A7613" w:rsidRPr="00615072" w:rsidRDefault="00CB6AA0" w:rsidP="00CB6AA0">
      <w:pPr>
        <w:spacing w:before="60" w:after="60"/>
        <w:jc w:val="center"/>
        <w:rPr>
          <w:rFonts w:ascii="Cambria" w:eastAsia="Cambria" w:hAnsi="Cambria" w:cs="Cambria"/>
          <w:color w:val="000000"/>
          <w:sz w:val="24"/>
          <w:szCs w:val="24"/>
          <w:lang w:val="id-ID"/>
        </w:rPr>
      </w:pPr>
      <w:r>
        <w:rPr>
          <w:rFonts w:ascii="Cambria" w:eastAsia="Cambria" w:hAnsi="Cambria" w:cs="Cambria"/>
          <w:b/>
          <w:bCs/>
          <w:color w:val="000000"/>
          <w:sz w:val="24"/>
          <w:szCs w:val="24"/>
          <w:lang w:val="id-ID"/>
        </w:rPr>
        <w:t>Table 7</w:t>
      </w:r>
      <w:r w:rsidR="000A6DB5">
        <w:rPr>
          <w:rFonts w:ascii="Cambria" w:eastAsia="Cambria" w:hAnsi="Cambria" w:cs="Cambria"/>
          <w:b/>
          <w:bCs/>
          <w:color w:val="000000"/>
          <w:sz w:val="24"/>
          <w:szCs w:val="24"/>
          <w:lang w:val="id-ID"/>
        </w:rPr>
        <w:t>.</w:t>
      </w:r>
      <w:r>
        <w:rPr>
          <w:rFonts w:ascii="Cambria" w:eastAsia="Cambria" w:hAnsi="Cambria" w:cs="Cambria"/>
          <w:b/>
          <w:bCs/>
          <w:color w:val="000000"/>
          <w:sz w:val="24"/>
          <w:szCs w:val="24"/>
          <w:lang w:val="id-ID"/>
        </w:rPr>
        <w:t xml:space="preserve"> </w:t>
      </w:r>
      <w:r w:rsidRPr="00615072">
        <w:rPr>
          <w:rFonts w:ascii="Cambria" w:eastAsia="Cambria" w:hAnsi="Cambria" w:cs="Cambria"/>
          <w:color w:val="000000"/>
          <w:sz w:val="24"/>
          <w:szCs w:val="24"/>
          <w:lang w:val="id-ID"/>
        </w:rPr>
        <w:t>Partial Least Squares Structural Equation Modeling (PLS-SEM)</w:t>
      </w:r>
    </w:p>
    <w:tbl>
      <w:tblPr>
        <w:tblW w:w="0" w:type="auto"/>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701"/>
        <w:gridCol w:w="1985"/>
        <w:gridCol w:w="2583"/>
        <w:gridCol w:w="2520"/>
      </w:tblGrid>
      <w:tr w:rsidR="00460557" w:rsidTr="003A6535">
        <w:trPr>
          <w:tblHeader/>
          <w:jc w:val="center"/>
        </w:trPr>
        <w:tc>
          <w:tcPr>
            <w:tcW w:w="1701" w:type="dxa"/>
            <w:tcBorders>
              <w:top w:val="single" w:sz="4" w:space="0" w:color="auto"/>
              <w:bottom w:val="single" w:sz="4" w:space="0" w:color="auto"/>
            </w:tcBorders>
            <w:tcMar>
              <w:top w:w="150" w:type="dxa"/>
              <w:left w:w="0" w:type="dxa"/>
              <w:bottom w:w="150" w:type="dxa"/>
              <w:right w:w="240" w:type="dxa"/>
            </w:tcMar>
            <w:vAlign w:val="center"/>
            <w:hideMark/>
          </w:tcPr>
          <w:p w:rsidR="005A7613" w:rsidRPr="003A6535" w:rsidRDefault="00CB6AA0" w:rsidP="00846953">
            <w:pPr>
              <w:jc w:val="both"/>
              <w:rPr>
                <w:rFonts w:ascii="Cambria" w:eastAsia="Cambria" w:hAnsi="Cambria" w:cs="Cambria"/>
                <w:b/>
                <w:bCs/>
                <w:color w:val="000000"/>
                <w:lang w:val="id-ID"/>
              </w:rPr>
            </w:pPr>
            <w:r w:rsidRPr="003A6535">
              <w:rPr>
                <w:rFonts w:ascii="Cambria" w:eastAsia="Cambria" w:hAnsi="Cambria" w:cs="Cambria"/>
                <w:b/>
                <w:bCs/>
                <w:color w:val="000000"/>
                <w:lang w:val="id-ID"/>
              </w:rPr>
              <w:t>Aspect</w:t>
            </w:r>
          </w:p>
        </w:tc>
        <w:tc>
          <w:tcPr>
            <w:tcW w:w="1985" w:type="dxa"/>
            <w:tcBorders>
              <w:top w:val="single" w:sz="4" w:space="0" w:color="auto"/>
              <w:bottom w:val="single" w:sz="4" w:space="0" w:color="auto"/>
            </w:tcBorders>
            <w:tcMar>
              <w:top w:w="150" w:type="dxa"/>
              <w:left w:w="240" w:type="dxa"/>
              <w:bottom w:w="150" w:type="dxa"/>
              <w:right w:w="240" w:type="dxa"/>
            </w:tcMar>
            <w:vAlign w:val="center"/>
            <w:hideMark/>
          </w:tcPr>
          <w:p w:rsidR="005A7613" w:rsidRPr="003A6535" w:rsidRDefault="00CB6AA0" w:rsidP="00846953">
            <w:pPr>
              <w:jc w:val="both"/>
              <w:rPr>
                <w:rFonts w:ascii="Cambria" w:eastAsia="Cambria" w:hAnsi="Cambria" w:cs="Cambria"/>
                <w:b/>
                <w:bCs/>
                <w:color w:val="000000"/>
                <w:lang w:val="id-ID"/>
              </w:rPr>
            </w:pPr>
            <w:r w:rsidRPr="003A6535">
              <w:rPr>
                <w:rFonts w:ascii="Cambria" w:eastAsia="Cambria" w:hAnsi="Cambria" w:cs="Cambria"/>
                <w:b/>
                <w:bCs/>
                <w:color w:val="000000"/>
                <w:lang w:val="id-ID"/>
              </w:rPr>
              <w:t>CB-SEM (AMOS)</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5A7613" w:rsidRPr="003A6535" w:rsidRDefault="00CB6AA0" w:rsidP="00846953">
            <w:pPr>
              <w:jc w:val="both"/>
              <w:rPr>
                <w:rFonts w:ascii="Cambria" w:eastAsia="Cambria" w:hAnsi="Cambria" w:cs="Cambria"/>
                <w:b/>
                <w:bCs/>
                <w:color w:val="000000"/>
                <w:lang w:val="id-ID"/>
              </w:rPr>
            </w:pPr>
            <w:r w:rsidRPr="003A6535">
              <w:rPr>
                <w:rFonts w:ascii="Cambria" w:eastAsia="Cambria" w:hAnsi="Cambria" w:cs="Cambria"/>
                <w:b/>
                <w:bCs/>
                <w:color w:val="000000"/>
                <w:lang w:val="id-ID"/>
              </w:rPr>
              <w:t>PLS-SEM (SmartPLS)</w:t>
            </w:r>
          </w:p>
        </w:tc>
        <w:tc>
          <w:tcPr>
            <w:tcW w:w="2520" w:type="dxa"/>
            <w:tcBorders>
              <w:top w:val="single" w:sz="4" w:space="0" w:color="auto"/>
              <w:bottom w:val="single" w:sz="4" w:space="0" w:color="auto"/>
            </w:tcBorders>
            <w:tcMar>
              <w:top w:w="150" w:type="dxa"/>
              <w:left w:w="240" w:type="dxa"/>
              <w:bottom w:w="150" w:type="dxa"/>
              <w:right w:w="240" w:type="dxa"/>
            </w:tcMar>
            <w:vAlign w:val="center"/>
            <w:hideMark/>
          </w:tcPr>
          <w:p w:rsidR="005A7613" w:rsidRPr="003A6535" w:rsidRDefault="00CB6AA0" w:rsidP="00846953">
            <w:pPr>
              <w:jc w:val="both"/>
              <w:rPr>
                <w:rFonts w:ascii="Cambria" w:eastAsia="Cambria" w:hAnsi="Cambria" w:cs="Cambria"/>
                <w:b/>
                <w:bCs/>
                <w:color w:val="000000"/>
                <w:lang w:val="id-ID"/>
              </w:rPr>
            </w:pPr>
            <w:r w:rsidRPr="003A6535">
              <w:rPr>
                <w:rFonts w:ascii="Cambria" w:eastAsia="Cambria" w:hAnsi="Cambria" w:cs="Cambria"/>
                <w:b/>
                <w:bCs/>
                <w:color w:val="000000"/>
                <w:lang w:val="id-ID"/>
              </w:rPr>
              <w:t>Rationale</w:t>
            </w:r>
          </w:p>
        </w:tc>
      </w:tr>
      <w:tr w:rsidR="00460557" w:rsidTr="003A6535">
        <w:trPr>
          <w:jc w:val="center"/>
        </w:trPr>
        <w:tc>
          <w:tcPr>
            <w:tcW w:w="1701" w:type="dxa"/>
            <w:tcBorders>
              <w:top w:val="single" w:sz="4" w:space="0" w:color="auto"/>
            </w:tcBorders>
            <w:tcMar>
              <w:top w:w="150" w:type="dxa"/>
              <w:left w:w="0" w:type="dxa"/>
              <w:bottom w:w="150" w:type="dxa"/>
              <w:right w:w="240" w:type="dxa"/>
            </w:tcMar>
            <w:vAlign w:val="center"/>
            <w:hideMark/>
          </w:tcPr>
          <w:p w:rsidR="005A7613" w:rsidRPr="003A6535" w:rsidRDefault="00CB6AA0" w:rsidP="00846953">
            <w:pPr>
              <w:jc w:val="both"/>
              <w:rPr>
                <w:rFonts w:ascii="Cambria" w:eastAsia="Cambria" w:hAnsi="Cambria" w:cs="Cambria"/>
                <w:color w:val="000000"/>
                <w:lang w:val="id-ID"/>
              </w:rPr>
            </w:pPr>
            <w:r w:rsidRPr="003A6535">
              <w:rPr>
                <w:rFonts w:ascii="Cambria" w:eastAsia="Cambria" w:hAnsi="Cambria" w:cs="Cambria"/>
                <w:color w:val="000000"/>
                <w:lang w:val="id-ID"/>
              </w:rPr>
              <w:t>Analysis purpose</w:t>
            </w:r>
          </w:p>
        </w:tc>
        <w:tc>
          <w:tcPr>
            <w:tcW w:w="1985" w:type="dxa"/>
            <w:tcBorders>
              <w:top w:val="single" w:sz="4" w:space="0" w:color="auto"/>
            </w:tcBorders>
            <w:tcMar>
              <w:top w:w="150" w:type="dxa"/>
              <w:left w:w="240" w:type="dxa"/>
              <w:bottom w:w="150" w:type="dxa"/>
              <w:right w:w="240" w:type="dxa"/>
            </w:tcMar>
            <w:vAlign w:val="center"/>
            <w:hideMark/>
          </w:tcPr>
          <w:p w:rsidR="005A7613" w:rsidRPr="003A6535" w:rsidRDefault="00CB6AA0" w:rsidP="003A6535">
            <w:pPr>
              <w:rPr>
                <w:rFonts w:ascii="Cambria" w:eastAsia="Cambria" w:hAnsi="Cambria" w:cs="Cambria"/>
                <w:color w:val="000000"/>
                <w:lang w:val="id-ID"/>
              </w:rPr>
            </w:pPr>
            <w:r w:rsidRPr="003A6535">
              <w:rPr>
                <w:rFonts w:ascii="Cambria" w:eastAsia="Cambria" w:hAnsi="Cambria" w:cs="Cambria"/>
                <w:color w:val="000000"/>
                <w:lang w:val="id-ID"/>
              </w:rPr>
              <w:t>Theory testing (confirmatory)</w:t>
            </w:r>
          </w:p>
        </w:tc>
        <w:tc>
          <w:tcPr>
            <w:tcW w:w="0" w:type="auto"/>
            <w:tcBorders>
              <w:top w:val="single" w:sz="4" w:space="0" w:color="auto"/>
            </w:tcBorders>
            <w:tcMar>
              <w:top w:w="150" w:type="dxa"/>
              <w:left w:w="240" w:type="dxa"/>
              <w:bottom w:w="150" w:type="dxa"/>
              <w:right w:w="240" w:type="dxa"/>
            </w:tcMar>
            <w:vAlign w:val="center"/>
            <w:hideMark/>
          </w:tcPr>
          <w:p w:rsidR="005A7613" w:rsidRPr="003A6535" w:rsidRDefault="00CB6AA0" w:rsidP="003A6535">
            <w:pPr>
              <w:rPr>
                <w:rFonts w:ascii="Cambria" w:eastAsia="Cambria" w:hAnsi="Cambria" w:cs="Cambria"/>
                <w:color w:val="000000"/>
                <w:lang w:val="id-ID"/>
              </w:rPr>
            </w:pPr>
            <w:r w:rsidRPr="003A6535">
              <w:rPr>
                <w:rFonts w:ascii="Cambria" w:eastAsia="Cambria" w:hAnsi="Cambria" w:cs="Cambria"/>
                <w:color w:val="000000"/>
                <w:lang w:val="id-ID"/>
              </w:rPr>
              <w:t>Prediction &amp; exploration</w:t>
            </w:r>
          </w:p>
        </w:tc>
        <w:tc>
          <w:tcPr>
            <w:tcW w:w="2520" w:type="dxa"/>
            <w:tcBorders>
              <w:top w:val="single" w:sz="4" w:space="0" w:color="auto"/>
            </w:tcBorders>
            <w:tcMar>
              <w:top w:w="150" w:type="dxa"/>
              <w:left w:w="240" w:type="dxa"/>
              <w:bottom w:w="150" w:type="dxa"/>
              <w:right w:w="0" w:type="dxa"/>
            </w:tcMar>
            <w:vAlign w:val="center"/>
            <w:hideMark/>
          </w:tcPr>
          <w:p w:rsidR="005A7613" w:rsidRPr="003A6535" w:rsidRDefault="00CB6AA0" w:rsidP="003A6535">
            <w:pPr>
              <w:rPr>
                <w:rFonts w:ascii="Cambria" w:eastAsia="Cambria" w:hAnsi="Cambria" w:cs="Cambria"/>
                <w:color w:val="000000"/>
                <w:lang w:val="id-ID"/>
              </w:rPr>
            </w:pPr>
            <w:r w:rsidRPr="003A6535">
              <w:rPr>
                <w:rFonts w:ascii="Cambria" w:eastAsia="Cambria" w:hAnsi="Cambria" w:cs="Cambria"/>
                <w:color w:val="000000"/>
                <w:lang w:val="id-ID"/>
              </w:rPr>
              <w:t>This study is predictive-oriented</w:t>
            </w:r>
          </w:p>
        </w:tc>
      </w:tr>
      <w:tr w:rsidR="00460557" w:rsidTr="003A6535">
        <w:trPr>
          <w:jc w:val="center"/>
        </w:trPr>
        <w:tc>
          <w:tcPr>
            <w:tcW w:w="1701" w:type="dxa"/>
            <w:tcMar>
              <w:top w:w="150" w:type="dxa"/>
              <w:left w:w="0" w:type="dxa"/>
              <w:bottom w:w="150" w:type="dxa"/>
              <w:right w:w="240" w:type="dxa"/>
            </w:tcMar>
            <w:vAlign w:val="center"/>
            <w:hideMark/>
          </w:tcPr>
          <w:p w:rsidR="005A7613" w:rsidRPr="003A6535" w:rsidRDefault="00CB6AA0" w:rsidP="00846953">
            <w:pPr>
              <w:jc w:val="both"/>
              <w:rPr>
                <w:rFonts w:ascii="Cambria" w:eastAsia="Cambria" w:hAnsi="Cambria" w:cs="Cambria"/>
                <w:color w:val="000000"/>
                <w:lang w:val="id-ID"/>
              </w:rPr>
            </w:pPr>
            <w:r w:rsidRPr="003A6535">
              <w:rPr>
                <w:rFonts w:ascii="Cambria" w:eastAsia="Cambria" w:hAnsi="Cambria" w:cs="Cambria"/>
                <w:color w:val="000000"/>
                <w:lang w:val="id-ID"/>
              </w:rPr>
              <w:t>Data distribution</w:t>
            </w:r>
          </w:p>
        </w:tc>
        <w:tc>
          <w:tcPr>
            <w:tcW w:w="1985" w:type="dxa"/>
            <w:tcMar>
              <w:top w:w="150" w:type="dxa"/>
              <w:left w:w="240" w:type="dxa"/>
              <w:bottom w:w="150" w:type="dxa"/>
              <w:right w:w="240" w:type="dxa"/>
            </w:tcMar>
            <w:vAlign w:val="center"/>
            <w:hideMark/>
          </w:tcPr>
          <w:p w:rsidR="005A7613" w:rsidRPr="003A6535" w:rsidRDefault="00CB6AA0" w:rsidP="003A6535">
            <w:pPr>
              <w:rPr>
                <w:rFonts w:ascii="Cambria" w:eastAsia="Cambria" w:hAnsi="Cambria" w:cs="Cambria"/>
                <w:color w:val="000000"/>
                <w:lang w:val="id-ID"/>
              </w:rPr>
            </w:pPr>
            <w:r w:rsidRPr="003A6535">
              <w:rPr>
                <w:rFonts w:ascii="Cambria" w:eastAsia="Cambria" w:hAnsi="Cambria" w:cs="Cambria"/>
                <w:color w:val="000000"/>
                <w:lang w:val="id-ID"/>
              </w:rPr>
              <w:t>Requires multivariate normality</w:t>
            </w:r>
          </w:p>
        </w:tc>
        <w:tc>
          <w:tcPr>
            <w:tcW w:w="0" w:type="auto"/>
            <w:tcMar>
              <w:top w:w="150" w:type="dxa"/>
              <w:left w:w="240" w:type="dxa"/>
              <w:bottom w:w="150" w:type="dxa"/>
              <w:right w:w="240" w:type="dxa"/>
            </w:tcMar>
            <w:vAlign w:val="center"/>
            <w:hideMark/>
          </w:tcPr>
          <w:p w:rsidR="005A7613" w:rsidRPr="003A6535" w:rsidRDefault="00CB6AA0" w:rsidP="003A6535">
            <w:pPr>
              <w:rPr>
                <w:rFonts w:ascii="Cambria" w:eastAsia="Cambria" w:hAnsi="Cambria" w:cs="Cambria"/>
                <w:color w:val="000000"/>
                <w:lang w:val="id-ID"/>
              </w:rPr>
            </w:pPr>
            <w:r w:rsidRPr="003A6535">
              <w:rPr>
                <w:rFonts w:ascii="Cambria" w:eastAsia="Cambria" w:hAnsi="Cambria" w:cs="Cambria"/>
                <w:color w:val="000000"/>
                <w:lang w:val="id-ID"/>
              </w:rPr>
              <w:t>Distribution-free</w:t>
            </w:r>
          </w:p>
        </w:tc>
        <w:tc>
          <w:tcPr>
            <w:tcW w:w="2520" w:type="dxa"/>
            <w:tcMar>
              <w:top w:w="150" w:type="dxa"/>
              <w:left w:w="240" w:type="dxa"/>
              <w:bottom w:w="150" w:type="dxa"/>
              <w:right w:w="0" w:type="dxa"/>
            </w:tcMar>
            <w:vAlign w:val="center"/>
            <w:hideMark/>
          </w:tcPr>
          <w:p w:rsidR="005A7613" w:rsidRPr="003A6535" w:rsidRDefault="00CB6AA0" w:rsidP="003A6535">
            <w:pPr>
              <w:rPr>
                <w:rFonts w:ascii="Cambria" w:eastAsia="Cambria" w:hAnsi="Cambria" w:cs="Cambria"/>
                <w:color w:val="000000"/>
                <w:lang w:val="id-ID"/>
              </w:rPr>
            </w:pPr>
            <w:r w:rsidRPr="003A6535">
              <w:rPr>
                <w:rFonts w:ascii="Cambria" w:eastAsia="Cambria" w:hAnsi="Cambria" w:cs="Cambria"/>
                <w:color w:val="000000"/>
                <w:lang w:val="id-ID"/>
              </w:rPr>
              <w:t>Data is not perfectly normal</w:t>
            </w:r>
          </w:p>
        </w:tc>
      </w:tr>
      <w:tr w:rsidR="00460557" w:rsidTr="003A6535">
        <w:trPr>
          <w:jc w:val="center"/>
        </w:trPr>
        <w:tc>
          <w:tcPr>
            <w:tcW w:w="1701" w:type="dxa"/>
            <w:tcMar>
              <w:top w:w="150" w:type="dxa"/>
              <w:left w:w="0" w:type="dxa"/>
              <w:bottom w:w="150" w:type="dxa"/>
              <w:right w:w="240" w:type="dxa"/>
            </w:tcMar>
            <w:vAlign w:val="center"/>
            <w:hideMark/>
          </w:tcPr>
          <w:p w:rsidR="005A7613" w:rsidRPr="003A6535" w:rsidRDefault="00CB6AA0" w:rsidP="00846953">
            <w:pPr>
              <w:jc w:val="both"/>
              <w:rPr>
                <w:rFonts w:ascii="Cambria" w:eastAsia="Cambria" w:hAnsi="Cambria" w:cs="Cambria"/>
                <w:color w:val="000000"/>
                <w:lang w:val="id-ID"/>
              </w:rPr>
            </w:pPr>
            <w:r w:rsidRPr="003A6535">
              <w:rPr>
                <w:rFonts w:ascii="Cambria" w:eastAsia="Cambria" w:hAnsi="Cambria" w:cs="Cambria"/>
                <w:color w:val="000000"/>
                <w:lang w:val="id-ID"/>
              </w:rPr>
              <w:t>Minimum sample size</w:t>
            </w:r>
          </w:p>
        </w:tc>
        <w:tc>
          <w:tcPr>
            <w:tcW w:w="1985" w:type="dxa"/>
            <w:tcMar>
              <w:top w:w="150" w:type="dxa"/>
              <w:left w:w="240" w:type="dxa"/>
              <w:bottom w:w="150" w:type="dxa"/>
              <w:right w:w="240" w:type="dxa"/>
            </w:tcMar>
            <w:vAlign w:val="center"/>
            <w:hideMark/>
          </w:tcPr>
          <w:p w:rsidR="005A7613" w:rsidRPr="003A6535" w:rsidRDefault="00CB6AA0" w:rsidP="003A6535">
            <w:pPr>
              <w:rPr>
                <w:rFonts w:ascii="Cambria" w:eastAsia="Cambria" w:hAnsi="Cambria" w:cs="Cambria"/>
                <w:color w:val="000000"/>
                <w:lang w:val="id-ID"/>
              </w:rPr>
            </w:pPr>
            <w:r w:rsidRPr="003A6535">
              <w:rPr>
                <w:rFonts w:ascii="Cambria" w:eastAsia="Cambria" w:hAnsi="Cambria" w:cs="Cambria"/>
                <w:color w:val="000000"/>
                <w:lang w:val="id-ID"/>
              </w:rPr>
              <w:t>200-400</w:t>
            </w:r>
          </w:p>
        </w:tc>
        <w:tc>
          <w:tcPr>
            <w:tcW w:w="0" w:type="auto"/>
            <w:tcMar>
              <w:top w:w="150" w:type="dxa"/>
              <w:left w:w="240" w:type="dxa"/>
              <w:bottom w:w="150" w:type="dxa"/>
              <w:right w:w="240" w:type="dxa"/>
            </w:tcMar>
            <w:vAlign w:val="center"/>
            <w:hideMark/>
          </w:tcPr>
          <w:p w:rsidR="005A7613" w:rsidRPr="003A6535" w:rsidRDefault="00CB6AA0" w:rsidP="003A6535">
            <w:pPr>
              <w:rPr>
                <w:rFonts w:ascii="Cambria" w:eastAsia="Cambria" w:hAnsi="Cambria" w:cs="Cambria"/>
                <w:color w:val="000000"/>
                <w:lang w:val="id-ID"/>
              </w:rPr>
            </w:pPr>
            <w:r w:rsidRPr="003A6535">
              <w:rPr>
                <w:rFonts w:ascii="Cambria" w:eastAsia="Cambria" w:hAnsi="Cambria" w:cs="Cambria"/>
                <w:color w:val="000000"/>
                <w:lang w:val="id-ID"/>
              </w:rPr>
              <w:t>100-150</w:t>
            </w:r>
          </w:p>
        </w:tc>
        <w:tc>
          <w:tcPr>
            <w:tcW w:w="2520" w:type="dxa"/>
            <w:tcMar>
              <w:top w:w="150" w:type="dxa"/>
              <w:left w:w="240" w:type="dxa"/>
              <w:bottom w:w="150" w:type="dxa"/>
              <w:right w:w="0" w:type="dxa"/>
            </w:tcMar>
            <w:vAlign w:val="center"/>
            <w:hideMark/>
          </w:tcPr>
          <w:p w:rsidR="005A7613" w:rsidRPr="003A6535" w:rsidRDefault="00CB6AA0" w:rsidP="003A6535">
            <w:pPr>
              <w:rPr>
                <w:rFonts w:ascii="Cambria" w:eastAsia="Cambria" w:hAnsi="Cambria" w:cs="Cambria"/>
                <w:color w:val="000000"/>
                <w:lang w:val="id-ID"/>
              </w:rPr>
            </w:pPr>
            <w:r w:rsidRPr="003A6535">
              <w:rPr>
                <w:rFonts w:ascii="Cambria" w:eastAsia="Cambria" w:hAnsi="Cambria" w:cs="Cambria"/>
                <w:color w:val="000000"/>
                <w:lang w:val="id-ID"/>
              </w:rPr>
              <w:t>N=105 is adequate for PLS-SEM</w:t>
            </w:r>
          </w:p>
        </w:tc>
      </w:tr>
    </w:tbl>
    <w:p w:rsidR="003A6535" w:rsidRDefault="003A6535" w:rsidP="005A7613">
      <w:pPr>
        <w:ind w:left="284"/>
        <w:jc w:val="center"/>
        <w:rPr>
          <w:rFonts w:ascii="Cambria" w:eastAsia="Cambria" w:hAnsi="Cambria" w:cs="Cambria"/>
          <w:b/>
          <w:bCs/>
          <w:color w:val="000000"/>
          <w:sz w:val="24"/>
          <w:szCs w:val="24"/>
          <w:lang w:val="id-ID"/>
        </w:rPr>
      </w:pPr>
    </w:p>
    <w:p w:rsidR="003A6535" w:rsidRDefault="003A6535" w:rsidP="005A7613">
      <w:pPr>
        <w:ind w:left="284"/>
        <w:jc w:val="center"/>
        <w:rPr>
          <w:rFonts w:ascii="Cambria" w:eastAsia="Cambria" w:hAnsi="Cambria" w:cs="Cambria"/>
          <w:b/>
          <w:bCs/>
          <w:color w:val="000000"/>
          <w:sz w:val="24"/>
          <w:szCs w:val="24"/>
          <w:lang w:val="id-ID"/>
        </w:rPr>
      </w:pPr>
    </w:p>
    <w:p w:rsidR="003A6535" w:rsidRDefault="003A6535" w:rsidP="005A7613">
      <w:pPr>
        <w:ind w:left="284"/>
        <w:jc w:val="center"/>
        <w:rPr>
          <w:rFonts w:ascii="Cambria" w:eastAsia="Cambria" w:hAnsi="Cambria" w:cs="Cambria"/>
          <w:b/>
          <w:bCs/>
          <w:color w:val="000000"/>
          <w:sz w:val="24"/>
          <w:szCs w:val="24"/>
          <w:lang w:val="id-ID"/>
        </w:rPr>
      </w:pPr>
    </w:p>
    <w:p w:rsidR="003A6535" w:rsidRDefault="003A6535" w:rsidP="005A7613">
      <w:pPr>
        <w:ind w:left="284"/>
        <w:jc w:val="center"/>
        <w:rPr>
          <w:rFonts w:ascii="Cambria" w:eastAsia="Cambria" w:hAnsi="Cambria" w:cs="Cambria"/>
          <w:b/>
          <w:bCs/>
          <w:color w:val="000000"/>
          <w:sz w:val="24"/>
          <w:szCs w:val="24"/>
          <w:lang w:val="id-ID"/>
        </w:rPr>
      </w:pPr>
    </w:p>
    <w:p w:rsidR="005A7613" w:rsidRPr="00615072" w:rsidRDefault="00CB6AA0" w:rsidP="003A6535">
      <w:pPr>
        <w:spacing w:before="60" w:after="60"/>
        <w:ind w:left="284"/>
        <w:jc w:val="center"/>
        <w:rPr>
          <w:rFonts w:ascii="Cambria" w:eastAsia="Cambria" w:hAnsi="Cambria" w:cs="Cambria"/>
          <w:color w:val="000000"/>
          <w:sz w:val="24"/>
          <w:szCs w:val="24"/>
          <w:lang w:val="id-ID"/>
        </w:rPr>
      </w:pPr>
      <w:r>
        <w:rPr>
          <w:rFonts w:ascii="Cambria" w:eastAsia="Cambria" w:hAnsi="Cambria" w:cs="Cambria"/>
          <w:b/>
          <w:bCs/>
          <w:color w:val="000000"/>
          <w:sz w:val="24"/>
          <w:szCs w:val="24"/>
          <w:lang w:val="id-ID"/>
        </w:rPr>
        <w:lastRenderedPageBreak/>
        <w:t>Table 8</w:t>
      </w:r>
      <w:r w:rsidR="000A6DB5">
        <w:rPr>
          <w:rFonts w:ascii="Cambria" w:eastAsia="Cambria" w:hAnsi="Cambria" w:cs="Cambria"/>
          <w:b/>
          <w:bCs/>
          <w:color w:val="000000"/>
          <w:sz w:val="24"/>
          <w:szCs w:val="24"/>
          <w:lang w:val="id-ID"/>
        </w:rPr>
        <w:t>.</w:t>
      </w:r>
      <w:r>
        <w:rPr>
          <w:rFonts w:ascii="Cambria" w:eastAsia="Cambria" w:hAnsi="Cambria" w:cs="Cambria"/>
          <w:b/>
          <w:bCs/>
          <w:color w:val="000000"/>
          <w:sz w:val="24"/>
          <w:szCs w:val="24"/>
          <w:lang w:val="id-ID"/>
        </w:rPr>
        <w:t xml:space="preserve"> </w:t>
      </w:r>
      <w:r w:rsidRPr="00615072">
        <w:rPr>
          <w:rFonts w:ascii="Cambria" w:eastAsia="Cambria" w:hAnsi="Cambria" w:cs="Cambria"/>
          <w:color w:val="000000"/>
          <w:sz w:val="24"/>
          <w:szCs w:val="24"/>
          <w:lang w:val="id-ID"/>
        </w:rPr>
        <w:t>Measurement Model Evaluation (Outer Model)</w:t>
      </w:r>
    </w:p>
    <w:tbl>
      <w:tblPr>
        <w:tblW w:w="7863" w:type="dxa"/>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991"/>
        <w:gridCol w:w="1733"/>
        <w:gridCol w:w="3139"/>
      </w:tblGrid>
      <w:tr w:rsidR="00460557" w:rsidTr="003A6535">
        <w:trPr>
          <w:trHeight w:val="286"/>
          <w:tblHeader/>
          <w:jc w:val="center"/>
        </w:trPr>
        <w:tc>
          <w:tcPr>
            <w:tcW w:w="2991" w:type="dxa"/>
            <w:tcBorders>
              <w:top w:val="single" w:sz="4" w:space="0" w:color="auto"/>
              <w:bottom w:val="single" w:sz="4" w:space="0" w:color="auto"/>
            </w:tcBorders>
            <w:tcMar>
              <w:top w:w="150" w:type="dxa"/>
              <w:left w:w="0" w:type="dxa"/>
              <w:bottom w:w="150" w:type="dxa"/>
              <w:right w:w="240" w:type="dxa"/>
            </w:tcMar>
            <w:vAlign w:val="center"/>
            <w:hideMark/>
          </w:tcPr>
          <w:p w:rsidR="005A7613" w:rsidRPr="003A6535" w:rsidRDefault="00CB6AA0" w:rsidP="00846953">
            <w:pPr>
              <w:ind w:left="284"/>
              <w:jc w:val="both"/>
              <w:rPr>
                <w:rFonts w:ascii="Cambria" w:eastAsia="Cambria" w:hAnsi="Cambria" w:cs="Cambria"/>
                <w:b/>
                <w:bCs/>
                <w:color w:val="000000"/>
                <w:lang w:val="id-ID"/>
              </w:rPr>
            </w:pPr>
            <w:r w:rsidRPr="003A6535">
              <w:rPr>
                <w:rFonts w:ascii="Cambria" w:eastAsia="Cambria" w:hAnsi="Cambria" w:cs="Cambria"/>
                <w:b/>
                <w:bCs/>
                <w:color w:val="000000"/>
                <w:lang w:val="id-ID"/>
              </w:rPr>
              <w:t xml:space="preserve"> </w:t>
            </w:r>
          </w:p>
        </w:tc>
        <w:tc>
          <w:tcPr>
            <w:tcW w:w="1733" w:type="dxa"/>
            <w:tcBorders>
              <w:top w:val="single" w:sz="4" w:space="0" w:color="auto"/>
              <w:bottom w:val="single" w:sz="4" w:space="0" w:color="auto"/>
            </w:tcBorders>
            <w:tcMar>
              <w:top w:w="150" w:type="dxa"/>
              <w:left w:w="240" w:type="dxa"/>
              <w:bottom w:w="150" w:type="dxa"/>
              <w:right w:w="240" w:type="dxa"/>
            </w:tcMar>
            <w:vAlign w:val="center"/>
            <w:hideMark/>
          </w:tcPr>
          <w:p w:rsidR="005A7613" w:rsidRPr="003A6535" w:rsidRDefault="00CB6AA0" w:rsidP="00F37199">
            <w:pPr>
              <w:jc w:val="both"/>
              <w:rPr>
                <w:rFonts w:ascii="Cambria" w:eastAsia="Cambria" w:hAnsi="Cambria" w:cs="Cambria"/>
                <w:b/>
                <w:bCs/>
                <w:color w:val="000000"/>
                <w:lang w:val="id-ID"/>
              </w:rPr>
            </w:pPr>
            <w:r w:rsidRPr="003A6535">
              <w:rPr>
                <w:rFonts w:ascii="Cambria" w:eastAsia="Cambria" w:hAnsi="Cambria" w:cs="Cambria"/>
                <w:b/>
                <w:bCs/>
                <w:color w:val="000000"/>
                <w:lang w:val="id-ID"/>
              </w:rPr>
              <w:t>Expected Value</w:t>
            </w:r>
          </w:p>
        </w:tc>
        <w:tc>
          <w:tcPr>
            <w:tcW w:w="3139" w:type="dxa"/>
            <w:tcBorders>
              <w:top w:val="single" w:sz="4" w:space="0" w:color="auto"/>
              <w:bottom w:val="single" w:sz="4" w:space="0" w:color="auto"/>
            </w:tcBorders>
            <w:tcMar>
              <w:top w:w="150" w:type="dxa"/>
              <w:left w:w="240" w:type="dxa"/>
              <w:bottom w:w="150" w:type="dxa"/>
              <w:right w:w="240" w:type="dxa"/>
            </w:tcMar>
            <w:vAlign w:val="center"/>
            <w:hideMark/>
          </w:tcPr>
          <w:p w:rsidR="005A7613" w:rsidRPr="003A6535" w:rsidRDefault="00CB6AA0" w:rsidP="00846953">
            <w:pPr>
              <w:ind w:left="284"/>
              <w:jc w:val="both"/>
              <w:rPr>
                <w:rFonts w:ascii="Cambria" w:eastAsia="Cambria" w:hAnsi="Cambria" w:cs="Cambria"/>
                <w:b/>
                <w:bCs/>
                <w:color w:val="000000"/>
                <w:lang w:val="id-ID"/>
              </w:rPr>
            </w:pPr>
            <w:r w:rsidRPr="003A6535">
              <w:rPr>
                <w:rFonts w:ascii="Cambria" w:eastAsia="Cambria" w:hAnsi="Cambria" w:cs="Cambria"/>
                <w:b/>
                <w:bCs/>
                <w:color w:val="000000"/>
                <w:lang w:val="id-ID"/>
              </w:rPr>
              <w:t>Description</w:t>
            </w:r>
          </w:p>
        </w:tc>
      </w:tr>
      <w:tr w:rsidR="00460557" w:rsidTr="003A6535">
        <w:trPr>
          <w:trHeight w:val="286"/>
          <w:jc w:val="center"/>
        </w:trPr>
        <w:tc>
          <w:tcPr>
            <w:tcW w:w="2991" w:type="dxa"/>
            <w:tcBorders>
              <w:top w:val="single" w:sz="4" w:space="0" w:color="auto"/>
            </w:tcBorders>
            <w:tcMar>
              <w:top w:w="150" w:type="dxa"/>
              <w:left w:w="0" w:type="dxa"/>
              <w:bottom w:w="150" w:type="dxa"/>
              <w:right w:w="240" w:type="dxa"/>
            </w:tcMar>
            <w:vAlign w:val="center"/>
            <w:hideMark/>
          </w:tcPr>
          <w:p w:rsidR="005A7613" w:rsidRPr="003A6535" w:rsidRDefault="00CB6AA0" w:rsidP="003A6535">
            <w:pPr>
              <w:ind w:left="284"/>
              <w:rPr>
                <w:rFonts w:ascii="Cambria" w:eastAsia="Cambria" w:hAnsi="Cambria" w:cs="Cambria"/>
                <w:color w:val="000000"/>
                <w:lang w:val="id-ID"/>
              </w:rPr>
            </w:pPr>
            <w:r w:rsidRPr="003A6535">
              <w:rPr>
                <w:rFonts w:ascii="Cambria" w:eastAsia="Cambria" w:hAnsi="Cambria" w:cs="Cambria"/>
                <w:color w:val="000000"/>
                <w:lang w:val="id-ID"/>
              </w:rPr>
              <w:t>Loading Factor</w:t>
            </w:r>
          </w:p>
        </w:tc>
        <w:tc>
          <w:tcPr>
            <w:tcW w:w="1733" w:type="dxa"/>
            <w:tcBorders>
              <w:top w:val="single" w:sz="4" w:space="0" w:color="auto"/>
            </w:tcBorders>
            <w:tcMar>
              <w:top w:w="150" w:type="dxa"/>
              <w:left w:w="240" w:type="dxa"/>
              <w:bottom w:w="150" w:type="dxa"/>
              <w:right w:w="240" w:type="dxa"/>
            </w:tcMar>
            <w:vAlign w:val="center"/>
            <w:hideMark/>
          </w:tcPr>
          <w:p w:rsidR="005A7613" w:rsidRPr="003A6535" w:rsidRDefault="00CB6AA0" w:rsidP="00846953">
            <w:pPr>
              <w:ind w:left="284"/>
              <w:jc w:val="both"/>
              <w:rPr>
                <w:rFonts w:ascii="Cambria" w:eastAsia="Cambria" w:hAnsi="Cambria" w:cs="Cambria"/>
                <w:color w:val="000000"/>
                <w:lang w:val="id-ID"/>
              </w:rPr>
            </w:pPr>
            <w:r w:rsidRPr="003A6535">
              <w:rPr>
                <w:rFonts w:ascii="Cambria" w:eastAsia="Cambria" w:hAnsi="Cambria" w:cs="Cambria"/>
                <w:color w:val="000000"/>
                <w:lang w:val="id-ID"/>
              </w:rPr>
              <w:t>&gt; 0.70</w:t>
            </w:r>
          </w:p>
        </w:tc>
        <w:tc>
          <w:tcPr>
            <w:tcW w:w="3139" w:type="dxa"/>
            <w:tcBorders>
              <w:top w:val="single" w:sz="4" w:space="0" w:color="auto"/>
            </w:tcBorders>
            <w:tcMar>
              <w:top w:w="150" w:type="dxa"/>
              <w:left w:w="240" w:type="dxa"/>
              <w:bottom w:w="150" w:type="dxa"/>
              <w:right w:w="0" w:type="dxa"/>
            </w:tcMar>
            <w:vAlign w:val="center"/>
            <w:hideMark/>
          </w:tcPr>
          <w:p w:rsidR="005A7613" w:rsidRPr="003A6535" w:rsidRDefault="00CB6AA0" w:rsidP="00846953">
            <w:pPr>
              <w:ind w:left="284"/>
              <w:jc w:val="both"/>
              <w:rPr>
                <w:rFonts w:ascii="Cambria" w:eastAsia="Cambria" w:hAnsi="Cambria" w:cs="Cambria"/>
                <w:color w:val="000000"/>
                <w:lang w:val="id-ID"/>
              </w:rPr>
            </w:pPr>
            <w:r w:rsidRPr="003A6535">
              <w:rPr>
                <w:rFonts w:ascii="Cambria" w:eastAsia="Cambria" w:hAnsi="Cambria" w:cs="Cambria"/>
                <w:color w:val="000000"/>
                <w:lang w:val="id-ID"/>
              </w:rPr>
              <w:t>Indicator validity</w:t>
            </w:r>
          </w:p>
        </w:tc>
      </w:tr>
      <w:tr w:rsidR="00460557" w:rsidTr="003A6535">
        <w:trPr>
          <w:trHeight w:val="286"/>
          <w:jc w:val="center"/>
        </w:trPr>
        <w:tc>
          <w:tcPr>
            <w:tcW w:w="2991" w:type="dxa"/>
            <w:tcMar>
              <w:top w:w="150" w:type="dxa"/>
              <w:left w:w="0" w:type="dxa"/>
              <w:bottom w:w="150" w:type="dxa"/>
              <w:right w:w="240" w:type="dxa"/>
            </w:tcMar>
            <w:vAlign w:val="center"/>
            <w:hideMark/>
          </w:tcPr>
          <w:p w:rsidR="005A7613" w:rsidRPr="003A6535" w:rsidRDefault="00CB6AA0" w:rsidP="003A6535">
            <w:pPr>
              <w:ind w:left="284"/>
              <w:rPr>
                <w:rFonts w:ascii="Cambria" w:eastAsia="Cambria" w:hAnsi="Cambria" w:cs="Cambria"/>
                <w:color w:val="000000"/>
                <w:lang w:val="id-ID"/>
              </w:rPr>
            </w:pPr>
            <w:r w:rsidRPr="003A6535">
              <w:rPr>
                <w:rFonts w:ascii="Cambria" w:eastAsia="Cambria" w:hAnsi="Cambria" w:cs="Cambria"/>
                <w:color w:val="000000"/>
                <w:lang w:val="id-ID"/>
              </w:rPr>
              <w:t>Average Variance Extracted (AVE)</w:t>
            </w:r>
          </w:p>
        </w:tc>
        <w:tc>
          <w:tcPr>
            <w:tcW w:w="1733" w:type="dxa"/>
            <w:tcMar>
              <w:top w:w="150" w:type="dxa"/>
              <w:left w:w="240" w:type="dxa"/>
              <w:bottom w:w="150" w:type="dxa"/>
              <w:right w:w="240" w:type="dxa"/>
            </w:tcMar>
            <w:vAlign w:val="center"/>
            <w:hideMark/>
          </w:tcPr>
          <w:p w:rsidR="005A7613" w:rsidRPr="003A6535" w:rsidRDefault="00CB6AA0" w:rsidP="00846953">
            <w:pPr>
              <w:ind w:left="284"/>
              <w:jc w:val="both"/>
              <w:rPr>
                <w:rFonts w:ascii="Cambria" w:eastAsia="Cambria" w:hAnsi="Cambria" w:cs="Cambria"/>
                <w:color w:val="000000"/>
                <w:lang w:val="id-ID"/>
              </w:rPr>
            </w:pPr>
            <w:r w:rsidRPr="003A6535">
              <w:rPr>
                <w:rFonts w:ascii="Cambria" w:eastAsia="Cambria" w:hAnsi="Cambria" w:cs="Cambria"/>
                <w:color w:val="000000"/>
                <w:lang w:val="id-ID"/>
              </w:rPr>
              <w:t>&gt; 0.50</w:t>
            </w:r>
          </w:p>
        </w:tc>
        <w:tc>
          <w:tcPr>
            <w:tcW w:w="3139" w:type="dxa"/>
            <w:tcMar>
              <w:top w:w="150" w:type="dxa"/>
              <w:left w:w="240" w:type="dxa"/>
              <w:bottom w:w="150" w:type="dxa"/>
              <w:right w:w="0" w:type="dxa"/>
            </w:tcMar>
            <w:vAlign w:val="center"/>
            <w:hideMark/>
          </w:tcPr>
          <w:p w:rsidR="005A7613" w:rsidRPr="003A6535" w:rsidRDefault="00CB6AA0" w:rsidP="00846953">
            <w:pPr>
              <w:ind w:left="284"/>
              <w:jc w:val="both"/>
              <w:rPr>
                <w:rFonts w:ascii="Cambria" w:eastAsia="Cambria" w:hAnsi="Cambria" w:cs="Cambria"/>
                <w:color w:val="000000"/>
                <w:lang w:val="id-ID"/>
              </w:rPr>
            </w:pPr>
            <w:r w:rsidRPr="003A6535">
              <w:rPr>
                <w:rFonts w:ascii="Cambria" w:eastAsia="Cambria" w:hAnsi="Cambria" w:cs="Cambria"/>
                <w:color w:val="000000"/>
                <w:lang w:val="id-ID"/>
              </w:rPr>
              <w:t>Convergent validity</w:t>
            </w:r>
          </w:p>
        </w:tc>
      </w:tr>
      <w:tr w:rsidR="00460557" w:rsidTr="003A6535">
        <w:trPr>
          <w:trHeight w:val="296"/>
          <w:jc w:val="center"/>
        </w:trPr>
        <w:tc>
          <w:tcPr>
            <w:tcW w:w="2991" w:type="dxa"/>
            <w:tcMar>
              <w:top w:w="150" w:type="dxa"/>
              <w:left w:w="0" w:type="dxa"/>
              <w:bottom w:w="150" w:type="dxa"/>
              <w:right w:w="240" w:type="dxa"/>
            </w:tcMar>
            <w:vAlign w:val="center"/>
            <w:hideMark/>
          </w:tcPr>
          <w:p w:rsidR="005A7613" w:rsidRPr="003A6535" w:rsidRDefault="00CB6AA0" w:rsidP="003A6535">
            <w:pPr>
              <w:ind w:left="284"/>
              <w:rPr>
                <w:rFonts w:ascii="Cambria" w:eastAsia="Cambria" w:hAnsi="Cambria" w:cs="Cambria"/>
                <w:color w:val="000000"/>
                <w:lang w:val="id-ID"/>
              </w:rPr>
            </w:pPr>
            <w:r w:rsidRPr="003A6535">
              <w:rPr>
                <w:rFonts w:ascii="Cambria" w:eastAsia="Cambria" w:hAnsi="Cambria" w:cs="Cambria"/>
                <w:color w:val="000000"/>
                <w:lang w:val="id-ID"/>
              </w:rPr>
              <w:t>Composite Reliability (CR)</w:t>
            </w:r>
          </w:p>
        </w:tc>
        <w:tc>
          <w:tcPr>
            <w:tcW w:w="1733" w:type="dxa"/>
            <w:tcMar>
              <w:top w:w="150" w:type="dxa"/>
              <w:left w:w="240" w:type="dxa"/>
              <w:bottom w:w="150" w:type="dxa"/>
              <w:right w:w="240" w:type="dxa"/>
            </w:tcMar>
            <w:vAlign w:val="center"/>
            <w:hideMark/>
          </w:tcPr>
          <w:p w:rsidR="005A7613" w:rsidRPr="003A6535" w:rsidRDefault="00CB6AA0" w:rsidP="00846953">
            <w:pPr>
              <w:ind w:left="284"/>
              <w:jc w:val="both"/>
              <w:rPr>
                <w:rFonts w:ascii="Cambria" w:eastAsia="Cambria" w:hAnsi="Cambria" w:cs="Cambria"/>
                <w:color w:val="000000"/>
                <w:lang w:val="id-ID"/>
              </w:rPr>
            </w:pPr>
            <w:r w:rsidRPr="003A6535">
              <w:rPr>
                <w:rFonts w:ascii="Cambria" w:eastAsia="Cambria" w:hAnsi="Cambria" w:cs="Cambria"/>
                <w:color w:val="000000"/>
                <w:lang w:val="id-ID"/>
              </w:rPr>
              <w:t>&gt; 0.70</w:t>
            </w:r>
          </w:p>
        </w:tc>
        <w:tc>
          <w:tcPr>
            <w:tcW w:w="3139" w:type="dxa"/>
            <w:tcMar>
              <w:top w:w="150" w:type="dxa"/>
              <w:left w:w="240" w:type="dxa"/>
              <w:bottom w:w="150" w:type="dxa"/>
              <w:right w:w="0" w:type="dxa"/>
            </w:tcMar>
            <w:vAlign w:val="center"/>
            <w:hideMark/>
          </w:tcPr>
          <w:p w:rsidR="005A7613" w:rsidRPr="003A6535" w:rsidRDefault="00CB6AA0" w:rsidP="00846953">
            <w:pPr>
              <w:ind w:left="284"/>
              <w:jc w:val="both"/>
              <w:rPr>
                <w:rFonts w:ascii="Cambria" w:eastAsia="Cambria" w:hAnsi="Cambria" w:cs="Cambria"/>
                <w:color w:val="000000"/>
                <w:lang w:val="id-ID"/>
              </w:rPr>
            </w:pPr>
            <w:r w:rsidRPr="003A6535">
              <w:rPr>
                <w:rFonts w:ascii="Cambria" w:eastAsia="Cambria" w:hAnsi="Cambria" w:cs="Cambria"/>
                <w:color w:val="000000"/>
                <w:lang w:val="id-ID"/>
              </w:rPr>
              <w:t>Internal reliability</w:t>
            </w:r>
          </w:p>
        </w:tc>
      </w:tr>
      <w:tr w:rsidR="00460557" w:rsidTr="003A6535">
        <w:trPr>
          <w:trHeight w:val="286"/>
          <w:jc w:val="center"/>
        </w:trPr>
        <w:tc>
          <w:tcPr>
            <w:tcW w:w="2991" w:type="dxa"/>
            <w:tcMar>
              <w:top w:w="150" w:type="dxa"/>
              <w:left w:w="0" w:type="dxa"/>
              <w:bottom w:w="150" w:type="dxa"/>
              <w:right w:w="240" w:type="dxa"/>
            </w:tcMar>
            <w:vAlign w:val="center"/>
            <w:hideMark/>
          </w:tcPr>
          <w:p w:rsidR="005A7613" w:rsidRPr="003A6535" w:rsidRDefault="00CB6AA0" w:rsidP="003A6535">
            <w:pPr>
              <w:ind w:left="284"/>
              <w:rPr>
                <w:rFonts w:ascii="Cambria" w:eastAsia="Cambria" w:hAnsi="Cambria" w:cs="Cambria"/>
                <w:color w:val="000000"/>
                <w:lang w:val="id-ID"/>
              </w:rPr>
            </w:pPr>
            <w:r w:rsidRPr="003A6535">
              <w:rPr>
                <w:rFonts w:ascii="Cambria" w:eastAsia="Cambria" w:hAnsi="Cambria" w:cs="Cambria"/>
                <w:color w:val="000000"/>
                <w:lang w:val="id-ID"/>
              </w:rPr>
              <w:t>Cronbach's Alpha</w:t>
            </w:r>
          </w:p>
        </w:tc>
        <w:tc>
          <w:tcPr>
            <w:tcW w:w="1733" w:type="dxa"/>
            <w:tcMar>
              <w:top w:w="150" w:type="dxa"/>
              <w:left w:w="240" w:type="dxa"/>
              <w:bottom w:w="150" w:type="dxa"/>
              <w:right w:w="240" w:type="dxa"/>
            </w:tcMar>
            <w:vAlign w:val="center"/>
            <w:hideMark/>
          </w:tcPr>
          <w:p w:rsidR="005A7613" w:rsidRPr="003A6535" w:rsidRDefault="00CB6AA0" w:rsidP="00846953">
            <w:pPr>
              <w:ind w:left="284"/>
              <w:jc w:val="both"/>
              <w:rPr>
                <w:rFonts w:ascii="Cambria" w:eastAsia="Cambria" w:hAnsi="Cambria" w:cs="Cambria"/>
                <w:color w:val="000000"/>
                <w:lang w:val="id-ID"/>
              </w:rPr>
            </w:pPr>
            <w:r w:rsidRPr="003A6535">
              <w:rPr>
                <w:rFonts w:ascii="Cambria" w:eastAsia="Cambria" w:hAnsi="Cambria" w:cs="Cambria"/>
                <w:color w:val="000000"/>
                <w:lang w:val="id-ID"/>
              </w:rPr>
              <w:t>&gt; 0.70</w:t>
            </w:r>
          </w:p>
        </w:tc>
        <w:tc>
          <w:tcPr>
            <w:tcW w:w="3139" w:type="dxa"/>
            <w:tcMar>
              <w:top w:w="150" w:type="dxa"/>
              <w:left w:w="240" w:type="dxa"/>
              <w:bottom w:w="150" w:type="dxa"/>
              <w:right w:w="0" w:type="dxa"/>
            </w:tcMar>
            <w:vAlign w:val="center"/>
            <w:hideMark/>
          </w:tcPr>
          <w:p w:rsidR="005A7613" w:rsidRPr="003A6535" w:rsidRDefault="00CB6AA0" w:rsidP="00846953">
            <w:pPr>
              <w:ind w:left="284"/>
              <w:jc w:val="both"/>
              <w:rPr>
                <w:rFonts w:ascii="Cambria" w:eastAsia="Cambria" w:hAnsi="Cambria" w:cs="Cambria"/>
                <w:color w:val="000000"/>
                <w:lang w:val="id-ID"/>
              </w:rPr>
            </w:pPr>
            <w:r w:rsidRPr="003A6535">
              <w:rPr>
                <w:rFonts w:ascii="Cambria" w:eastAsia="Cambria" w:hAnsi="Cambria" w:cs="Cambria"/>
                <w:color w:val="000000"/>
                <w:lang w:val="id-ID"/>
              </w:rPr>
              <w:t>Internal consistency reliability</w:t>
            </w:r>
          </w:p>
        </w:tc>
      </w:tr>
      <w:tr w:rsidR="00460557" w:rsidTr="003A6535">
        <w:trPr>
          <w:trHeight w:val="286"/>
          <w:jc w:val="center"/>
        </w:trPr>
        <w:tc>
          <w:tcPr>
            <w:tcW w:w="2991" w:type="dxa"/>
            <w:tcMar>
              <w:top w:w="150" w:type="dxa"/>
              <w:left w:w="0" w:type="dxa"/>
              <w:bottom w:w="150" w:type="dxa"/>
              <w:right w:w="240" w:type="dxa"/>
            </w:tcMar>
            <w:vAlign w:val="center"/>
            <w:hideMark/>
          </w:tcPr>
          <w:p w:rsidR="005A7613" w:rsidRPr="003A6535" w:rsidRDefault="00CB6AA0" w:rsidP="003A6535">
            <w:pPr>
              <w:ind w:left="284"/>
              <w:rPr>
                <w:rFonts w:ascii="Cambria" w:eastAsia="Cambria" w:hAnsi="Cambria" w:cs="Cambria"/>
                <w:color w:val="000000"/>
                <w:lang w:val="id-ID"/>
              </w:rPr>
            </w:pPr>
            <w:r w:rsidRPr="003A6535">
              <w:rPr>
                <w:rFonts w:ascii="Cambria" w:eastAsia="Cambria" w:hAnsi="Cambria" w:cs="Cambria"/>
                <w:color w:val="000000"/>
                <w:lang w:val="id-ID"/>
              </w:rPr>
              <w:t>HTMT (Heterotrait-Monotrait)</w:t>
            </w:r>
          </w:p>
        </w:tc>
        <w:tc>
          <w:tcPr>
            <w:tcW w:w="1733" w:type="dxa"/>
            <w:tcMar>
              <w:top w:w="150" w:type="dxa"/>
              <w:left w:w="240" w:type="dxa"/>
              <w:bottom w:w="150" w:type="dxa"/>
              <w:right w:w="240" w:type="dxa"/>
            </w:tcMar>
            <w:vAlign w:val="center"/>
            <w:hideMark/>
          </w:tcPr>
          <w:p w:rsidR="005A7613" w:rsidRPr="003A6535" w:rsidRDefault="00CB6AA0" w:rsidP="00846953">
            <w:pPr>
              <w:ind w:left="284"/>
              <w:jc w:val="both"/>
              <w:rPr>
                <w:rFonts w:ascii="Cambria" w:eastAsia="Cambria" w:hAnsi="Cambria" w:cs="Cambria"/>
                <w:color w:val="000000"/>
                <w:lang w:val="id-ID"/>
              </w:rPr>
            </w:pPr>
            <w:r w:rsidRPr="003A6535">
              <w:rPr>
                <w:rFonts w:ascii="Cambria" w:eastAsia="Cambria" w:hAnsi="Cambria" w:cs="Cambria"/>
                <w:color w:val="000000"/>
                <w:lang w:val="id-ID"/>
              </w:rPr>
              <w:t>&lt; 0.90</w:t>
            </w:r>
          </w:p>
        </w:tc>
        <w:tc>
          <w:tcPr>
            <w:tcW w:w="3139" w:type="dxa"/>
            <w:tcMar>
              <w:top w:w="150" w:type="dxa"/>
              <w:left w:w="240" w:type="dxa"/>
              <w:bottom w:w="150" w:type="dxa"/>
              <w:right w:w="0" w:type="dxa"/>
            </w:tcMar>
            <w:vAlign w:val="center"/>
            <w:hideMark/>
          </w:tcPr>
          <w:p w:rsidR="005A7613" w:rsidRPr="003A6535" w:rsidRDefault="00CB6AA0" w:rsidP="00846953">
            <w:pPr>
              <w:ind w:left="284"/>
              <w:jc w:val="both"/>
              <w:rPr>
                <w:rFonts w:ascii="Cambria" w:eastAsia="Cambria" w:hAnsi="Cambria" w:cs="Cambria"/>
                <w:color w:val="000000"/>
                <w:lang w:val="id-ID"/>
              </w:rPr>
            </w:pPr>
            <w:r w:rsidRPr="003A6535">
              <w:rPr>
                <w:rFonts w:ascii="Cambria" w:eastAsia="Cambria" w:hAnsi="Cambria" w:cs="Cambria"/>
                <w:color w:val="000000"/>
                <w:lang w:val="id-ID"/>
              </w:rPr>
              <w:t>Discriminant validity</w:t>
            </w:r>
          </w:p>
        </w:tc>
      </w:tr>
      <w:tr w:rsidR="00460557" w:rsidTr="003A6535">
        <w:trPr>
          <w:trHeight w:val="286"/>
          <w:jc w:val="center"/>
        </w:trPr>
        <w:tc>
          <w:tcPr>
            <w:tcW w:w="2991" w:type="dxa"/>
            <w:tcMar>
              <w:top w:w="150" w:type="dxa"/>
              <w:left w:w="0" w:type="dxa"/>
              <w:bottom w:w="150" w:type="dxa"/>
              <w:right w:w="240" w:type="dxa"/>
            </w:tcMar>
            <w:vAlign w:val="center"/>
            <w:hideMark/>
          </w:tcPr>
          <w:p w:rsidR="005A7613" w:rsidRPr="003A6535" w:rsidRDefault="00CB6AA0" w:rsidP="003A6535">
            <w:pPr>
              <w:ind w:left="284"/>
              <w:rPr>
                <w:rFonts w:ascii="Cambria" w:eastAsia="Cambria" w:hAnsi="Cambria" w:cs="Cambria"/>
                <w:color w:val="000000"/>
                <w:lang w:val="id-ID"/>
              </w:rPr>
            </w:pPr>
            <w:r w:rsidRPr="003A6535">
              <w:rPr>
                <w:rFonts w:ascii="Cambria" w:eastAsia="Cambria" w:hAnsi="Cambria" w:cs="Cambria"/>
                <w:color w:val="000000"/>
                <w:lang w:val="id-ID"/>
              </w:rPr>
              <w:t>VIF (Variance Inflation Factor)</w:t>
            </w:r>
          </w:p>
        </w:tc>
        <w:tc>
          <w:tcPr>
            <w:tcW w:w="1733" w:type="dxa"/>
            <w:tcMar>
              <w:top w:w="150" w:type="dxa"/>
              <w:left w:w="240" w:type="dxa"/>
              <w:bottom w:w="150" w:type="dxa"/>
              <w:right w:w="240" w:type="dxa"/>
            </w:tcMar>
            <w:vAlign w:val="center"/>
            <w:hideMark/>
          </w:tcPr>
          <w:p w:rsidR="005A7613" w:rsidRPr="003A6535" w:rsidRDefault="00CB6AA0" w:rsidP="00846953">
            <w:pPr>
              <w:ind w:left="284"/>
              <w:jc w:val="both"/>
              <w:rPr>
                <w:rFonts w:ascii="Cambria" w:eastAsia="Cambria" w:hAnsi="Cambria" w:cs="Cambria"/>
                <w:color w:val="000000"/>
                <w:lang w:val="id-ID"/>
              </w:rPr>
            </w:pPr>
            <w:r w:rsidRPr="003A6535">
              <w:rPr>
                <w:rFonts w:ascii="Cambria" w:eastAsia="Cambria" w:hAnsi="Cambria" w:cs="Cambria"/>
                <w:color w:val="000000"/>
                <w:lang w:val="id-ID"/>
              </w:rPr>
              <w:t>&lt; 5.0</w:t>
            </w:r>
          </w:p>
        </w:tc>
        <w:tc>
          <w:tcPr>
            <w:tcW w:w="3139" w:type="dxa"/>
            <w:tcMar>
              <w:top w:w="150" w:type="dxa"/>
              <w:left w:w="240" w:type="dxa"/>
              <w:bottom w:w="150" w:type="dxa"/>
              <w:right w:w="0" w:type="dxa"/>
            </w:tcMar>
            <w:vAlign w:val="center"/>
            <w:hideMark/>
          </w:tcPr>
          <w:p w:rsidR="005A7613" w:rsidRPr="003A6535" w:rsidRDefault="00CB6AA0" w:rsidP="00846953">
            <w:pPr>
              <w:ind w:left="284"/>
              <w:jc w:val="both"/>
              <w:rPr>
                <w:rFonts w:ascii="Cambria" w:eastAsia="Cambria" w:hAnsi="Cambria" w:cs="Cambria"/>
                <w:color w:val="000000"/>
                <w:lang w:val="id-ID"/>
              </w:rPr>
            </w:pPr>
            <w:r w:rsidRPr="003A6535">
              <w:rPr>
                <w:rFonts w:ascii="Cambria" w:eastAsia="Cambria" w:hAnsi="Cambria" w:cs="Cambria"/>
                <w:color w:val="000000"/>
                <w:lang w:val="id-ID"/>
              </w:rPr>
              <w:t>No multicollinearity</w:t>
            </w:r>
          </w:p>
        </w:tc>
      </w:tr>
    </w:tbl>
    <w:p w:rsidR="005A7613" w:rsidRPr="00615072" w:rsidRDefault="00CB6AA0" w:rsidP="00F37199">
      <w:pPr>
        <w:spacing w:before="120" w:after="60"/>
        <w:ind w:left="284"/>
        <w:jc w:val="center"/>
        <w:rPr>
          <w:rFonts w:ascii="Cambria" w:eastAsia="Cambria" w:hAnsi="Cambria" w:cs="Cambria"/>
          <w:color w:val="000000"/>
          <w:sz w:val="24"/>
          <w:szCs w:val="24"/>
          <w:lang w:val="id-ID"/>
        </w:rPr>
      </w:pPr>
      <w:r w:rsidRPr="000A6DB5">
        <w:rPr>
          <w:rFonts w:ascii="Cambria" w:eastAsia="Cambria" w:hAnsi="Cambria" w:cs="Cambria"/>
          <w:b/>
          <w:bCs/>
          <w:color w:val="000000"/>
          <w:sz w:val="24"/>
          <w:szCs w:val="24"/>
          <w:lang w:val="id-ID"/>
        </w:rPr>
        <w:t>Table 9</w:t>
      </w:r>
      <w:r w:rsidR="000A6DB5">
        <w:rPr>
          <w:rFonts w:ascii="Cambria" w:eastAsia="Cambria" w:hAnsi="Cambria" w:cs="Cambria"/>
          <w:color w:val="000000"/>
          <w:sz w:val="24"/>
          <w:szCs w:val="24"/>
          <w:lang w:val="id-ID"/>
        </w:rPr>
        <w:t>.</w:t>
      </w:r>
      <w:r w:rsidRPr="00615072">
        <w:rPr>
          <w:rFonts w:ascii="Cambria" w:eastAsia="Cambria" w:hAnsi="Cambria" w:cs="Cambria"/>
          <w:color w:val="000000"/>
          <w:sz w:val="24"/>
          <w:szCs w:val="24"/>
          <w:lang w:val="id-ID"/>
        </w:rPr>
        <w:t xml:space="preserve"> Structural Model Evaluation (Inner Model)</w:t>
      </w:r>
    </w:p>
    <w:tbl>
      <w:tblPr>
        <w:tblW w:w="7411" w:type="dxa"/>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68"/>
        <w:gridCol w:w="2291"/>
        <w:gridCol w:w="2852"/>
      </w:tblGrid>
      <w:tr w:rsidR="00460557" w:rsidTr="00F37199">
        <w:trPr>
          <w:trHeight w:val="268"/>
          <w:tblHeader/>
          <w:jc w:val="center"/>
        </w:trPr>
        <w:tc>
          <w:tcPr>
            <w:tcW w:w="2268" w:type="dxa"/>
            <w:tcBorders>
              <w:top w:val="single" w:sz="4" w:space="0" w:color="auto"/>
              <w:bottom w:val="single" w:sz="4" w:space="0" w:color="auto"/>
            </w:tcBorders>
            <w:tcMar>
              <w:top w:w="150" w:type="dxa"/>
              <w:left w:w="0" w:type="dxa"/>
              <w:bottom w:w="150" w:type="dxa"/>
              <w:right w:w="240" w:type="dxa"/>
            </w:tcMar>
            <w:vAlign w:val="center"/>
            <w:hideMark/>
          </w:tcPr>
          <w:p w:rsidR="005A7613" w:rsidRPr="00F37199" w:rsidRDefault="00CB6AA0" w:rsidP="00F37199">
            <w:pPr>
              <w:ind w:left="284"/>
              <w:jc w:val="center"/>
              <w:rPr>
                <w:rFonts w:ascii="Cambria" w:eastAsia="Cambria" w:hAnsi="Cambria" w:cs="Cambria"/>
                <w:b/>
                <w:bCs/>
                <w:color w:val="000000"/>
                <w:lang w:val="id-ID"/>
              </w:rPr>
            </w:pPr>
            <w:r w:rsidRPr="00F37199">
              <w:rPr>
                <w:rFonts w:ascii="Cambria" w:eastAsia="Cambria" w:hAnsi="Cambria" w:cs="Cambria"/>
                <w:b/>
                <w:bCs/>
                <w:color w:val="000000"/>
                <w:lang w:val="id-ID"/>
              </w:rPr>
              <w:t>Criteria</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5A7613" w:rsidRPr="00F37199" w:rsidRDefault="00CB6AA0" w:rsidP="00F37199">
            <w:pPr>
              <w:ind w:left="284"/>
              <w:jc w:val="center"/>
              <w:rPr>
                <w:rFonts w:ascii="Cambria" w:eastAsia="Cambria" w:hAnsi="Cambria" w:cs="Cambria"/>
                <w:b/>
                <w:bCs/>
                <w:color w:val="000000"/>
                <w:lang w:val="id-ID"/>
              </w:rPr>
            </w:pPr>
            <w:r w:rsidRPr="00F37199">
              <w:rPr>
                <w:rFonts w:ascii="Cambria" w:eastAsia="Cambria" w:hAnsi="Cambria" w:cs="Cambria"/>
                <w:b/>
                <w:bCs/>
                <w:color w:val="000000"/>
                <w:lang w:val="id-ID"/>
              </w:rPr>
              <w:t>Expected Value</w:t>
            </w:r>
          </w:p>
        </w:tc>
        <w:tc>
          <w:tcPr>
            <w:tcW w:w="2852" w:type="dxa"/>
            <w:tcBorders>
              <w:top w:val="single" w:sz="4" w:space="0" w:color="auto"/>
              <w:bottom w:val="single" w:sz="4" w:space="0" w:color="auto"/>
            </w:tcBorders>
            <w:tcMar>
              <w:top w:w="150" w:type="dxa"/>
              <w:left w:w="240" w:type="dxa"/>
              <w:bottom w:w="150" w:type="dxa"/>
              <w:right w:w="240" w:type="dxa"/>
            </w:tcMar>
            <w:vAlign w:val="center"/>
            <w:hideMark/>
          </w:tcPr>
          <w:p w:rsidR="005A7613" w:rsidRPr="00F37199" w:rsidRDefault="00CB6AA0" w:rsidP="00F37199">
            <w:pPr>
              <w:ind w:left="284"/>
              <w:jc w:val="center"/>
              <w:rPr>
                <w:rFonts w:ascii="Cambria" w:eastAsia="Cambria" w:hAnsi="Cambria" w:cs="Cambria"/>
                <w:b/>
                <w:bCs/>
                <w:color w:val="000000"/>
                <w:lang w:val="id-ID"/>
              </w:rPr>
            </w:pPr>
            <w:r w:rsidRPr="00F37199">
              <w:rPr>
                <w:rFonts w:ascii="Cambria" w:eastAsia="Cambria" w:hAnsi="Cambria" w:cs="Cambria"/>
                <w:b/>
                <w:bCs/>
                <w:color w:val="000000"/>
                <w:lang w:val="id-ID"/>
              </w:rPr>
              <w:t>Description</w:t>
            </w:r>
          </w:p>
        </w:tc>
      </w:tr>
      <w:tr w:rsidR="00460557" w:rsidTr="00F37199">
        <w:trPr>
          <w:trHeight w:val="268"/>
          <w:jc w:val="center"/>
        </w:trPr>
        <w:tc>
          <w:tcPr>
            <w:tcW w:w="2268" w:type="dxa"/>
            <w:tcBorders>
              <w:top w:val="single" w:sz="4" w:space="0" w:color="auto"/>
            </w:tcBorders>
            <w:tcMar>
              <w:top w:w="150" w:type="dxa"/>
              <w:left w:w="0" w:type="dxa"/>
              <w:bottom w:w="150" w:type="dxa"/>
              <w:right w:w="240" w:type="dxa"/>
            </w:tcMar>
            <w:vAlign w:val="center"/>
            <w:hideMark/>
          </w:tcPr>
          <w:p w:rsidR="005A7613" w:rsidRPr="00F37199" w:rsidRDefault="00CB6AA0" w:rsidP="00F37199">
            <w:pPr>
              <w:ind w:left="284"/>
              <w:rPr>
                <w:rFonts w:ascii="Cambria" w:eastAsia="Cambria" w:hAnsi="Cambria" w:cs="Cambria"/>
                <w:color w:val="000000"/>
                <w:lang w:val="id-ID"/>
              </w:rPr>
            </w:pPr>
            <w:r w:rsidRPr="00F37199">
              <w:rPr>
                <w:rFonts w:ascii="Cambria" w:eastAsia="Cambria" w:hAnsi="Cambria" w:cs="Cambria"/>
                <w:color w:val="000000"/>
                <w:lang w:val="id-ID"/>
              </w:rPr>
              <w:t>R² (Coefficient of Determination)</w:t>
            </w:r>
          </w:p>
        </w:tc>
        <w:tc>
          <w:tcPr>
            <w:tcW w:w="0" w:type="auto"/>
            <w:tcBorders>
              <w:top w:val="single" w:sz="4" w:space="0" w:color="auto"/>
            </w:tcBorders>
            <w:tcMar>
              <w:top w:w="150" w:type="dxa"/>
              <w:left w:w="240" w:type="dxa"/>
              <w:bottom w:w="150" w:type="dxa"/>
              <w:right w:w="240" w:type="dxa"/>
            </w:tcMar>
            <w:vAlign w:val="center"/>
            <w:hideMark/>
          </w:tcPr>
          <w:p w:rsidR="005A7613" w:rsidRPr="00F37199" w:rsidRDefault="00CB6AA0" w:rsidP="00F37199">
            <w:pPr>
              <w:ind w:left="284"/>
              <w:rPr>
                <w:rFonts w:ascii="Cambria" w:eastAsia="Cambria" w:hAnsi="Cambria" w:cs="Cambria"/>
                <w:color w:val="000000"/>
                <w:lang w:val="id-ID"/>
              </w:rPr>
            </w:pPr>
            <w:r w:rsidRPr="00F37199">
              <w:rPr>
                <w:rFonts w:ascii="Cambria" w:eastAsia="Cambria" w:hAnsi="Cambria" w:cs="Cambria"/>
                <w:color w:val="000000"/>
                <w:lang w:val="id-ID"/>
              </w:rPr>
              <w:t>&gt; 0.10</w:t>
            </w:r>
          </w:p>
        </w:tc>
        <w:tc>
          <w:tcPr>
            <w:tcW w:w="2852" w:type="dxa"/>
            <w:tcBorders>
              <w:top w:val="single" w:sz="4" w:space="0" w:color="auto"/>
            </w:tcBorders>
            <w:tcMar>
              <w:top w:w="150" w:type="dxa"/>
              <w:left w:w="240" w:type="dxa"/>
              <w:bottom w:w="150" w:type="dxa"/>
              <w:right w:w="0" w:type="dxa"/>
            </w:tcMar>
            <w:vAlign w:val="center"/>
            <w:hideMark/>
          </w:tcPr>
          <w:p w:rsidR="005A7613" w:rsidRPr="00F37199" w:rsidRDefault="00CB6AA0" w:rsidP="00F37199">
            <w:pPr>
              <w:ind w:left="284"/>
              <w:rPr>
                <w:rFonts w:ascii="Cambria" w:eastAsia="Cambria" w:hAnsi="Cambria" w:cs="Cambria"/>
                <w:color w:val="000000"/>
                <w:lang w:val="id-ID"/>
              </w:rPr>
            </w:pPr>
            <w:r w:rsidRPr="00F37199">
              <w:rPr>
                <w:rFonts w:ascii="Cambria" w:eastAsia="Cambria" w:hAnsi="Cambria" w:cs="Cambria"/>
                <w:color w:val="000000"/>
                <w:lang w:val="id-ID"/>
              </w:rPr>
              <w:t>Model predictive power</w:t>
            </w:r>
          </w:p>
        </w:tc>
      </w:tr>
      <w:tr w:rsidR="00460557" w:rsidTr="00F37199">
        <w:trPr>
          <w:trHeight w:val="268"/>
          <w:jc w:val="center"/>
        </w:trPr>
        <w:tc>
          <w:tcPr>
            <w:tcW w:w="2268" w:type="dxa"/>
            <w:tcMar>
              <w:top w:w="150" w:type="dxa"/>
              <w:left w:w="0" w:type="dxa"/>
              <w:bottom w:w="150" w:type="dxa"/>
              <w:right w:w="240" w:type="dxa"/>
            </w:tcMar>
            <w:vAlign w:val="center"/>
            <w:hideMark/>
          </w:tcPr>
          <w:p w:rsidR="005A7613" w:rsidRPr="00F37199" w:rsidRDefault="00CB6AA0" w:rsidP="00F37199">
            <w:pPr>
              <w:ind w:left="284"/>
              <w:rPr>
                <w:rFonts w:ascii="Cambria" w:eastAsia="Cambria" w:hAnsi="Cambria" w:cs="Cambria"/>
                <w:color w:val="000000"/>
                <w:lang w:val="id-ID"/>
              </w:rPr>
            </w:pPr>
            <w:r w:rsidRPr="00F37199">
              <w:rPr>
                <w:rFonts w:ascii="Cambria" w:eastAsia="Cambria" w:hAnsi="Cambria" w:cs="Cambria"/>
                <w:color w:val="000000"/>
                <w:lang w:val="id-ID"/>
              </w:rPr>
              <w:t>Path Coefficient (β)</w:t>
            </w:r>
          </w:p>
        </w:tc>
        <w:tc>
          <w:tcPr>
            <w:tcW w:w="0" w:type="auto"/>
            <w:tcMar>
              <w:top w:w="150" w:type="dxa"/>
              <w:left w:w="240" w:type="dxa"/>
              <w:bottom w:w="150" w:type="dxa"/>
              <w:right w:w="240" w:type="dxa"/>
            </w:tcMar>
            <w:vAlign w:val="center"/>
            <w:hideMark/>
          </w:tcPr>
          <w:p w:rsidR="005A7613" w:rsidRPr="00F37199" w:rsidRDefault="00CB6AA0" w:rsidP="00F37199">
            <w:pPr>
              <w:ind w:left="284"/>
              <w:rPr>
                <w:rFonts w:ascii="Cambria" w:eastAsia="Cambria" w:hAnsi="Cambria" w:cs="Cambria"/>
                <w:color w:val="000000"/>
                <w:lang w:val="id-ID"/>
              </w:rPr>
            </w:pPr>
            <w:r w:rsidRPr="00F37199">
              <w:rPr>
                <w:rFonts w:ascii="Cambria" w:eastAsia="Cambria" w:hAnsi="Cambria" w:cs="Cambria"/>
                <w:color w:val="000000"/>
                <w:lang w:val="id-ID"/>
              </w:rPr>
              <w:t>-1 to +1</w:t>
            </w:r>
          </w:p>
        </w:tc>
        <w:tc>
          <w:tcPr>
            <w:tcW w:w="2852" w:type="dxa"/>
            <w:tcMar>
              <w:top w:w="150" w:type="dxa"/>
              <w:left w:w="240" w:type="dxa"/>
              <w:bottom w:w="150" w:type="dxa"/>
              <w:right w:w="0" w:type="dxa"/>
            </w:tcMar>
            <w:vAlign w:val="center"/>
            <w:hideMark/>
          </w:tcPr>
          <w:p w:rsidR="005A7613" w:rsidRPr="00F37199" w:rsidRDefault="00CB6AA0" w:rsidP="00F37199">
            <w:pPr>
              <w:ind w:left="284"/>
              <w:rPr>
                <w:rFonts w:ascii="Cambria" w:eastAsia="Cambria" w:hAnsi="Cambria" w:cs="Cambria"/>
                <w:color w:val="000000"/>
                <w:lang w:val="id-ID"/>
              </w:rPr>
            </w:pPr>
            <w:r w:rsidRPr="00F37199">
              <w:rPr>
                <w:rFonts w:ascii="Cambria" w:eastAsia="Cambria" w:hAnsi="Cambria" w:cs="Cambria"/>
                <w:color w:val="000000"/>
                <w:lang w:val="id-ID"/>
              </w:rPr>
              <w:t>Direction and strength of relationship</w:t>
            </w:r>
          </w:p>
        </w:tc>
      </w:tr>
      <w:tr w:rsidR="00460557" w:rsidTr="00F37199">
        <w:trPr>
          <w:trHeight w:val="277"/>
          <w:jc w:val="center"/>
        </w:trPr>
        <w:tc>
          <w:tcPr>
            <w:tcW w:w="2268" w:type="dxa"/>
            <w:tcMar>
              <w:top w:w="150" w:type="dxa"/>
              <w:left w:w="0" w:type="dxa"/>
              <w:bottom w:w="150" w:type="dxa"/>
              <w:right w:w="240" w:type="dxa"/>
            </w:tcMar>
            <w:vAlign w:val="center"/>
            <w:hideMark/>
          </w:tcPr>
          <w:p w:rsidR="005A7613" w:rsidRPr="00F37199" w:rsidRDefault="00CB6AA0" w:rsidP="00F37199">
            <w:pPr>
              <w:ind w:left="284"/>
              <w:rPr>
                <w:rFonts w:ascii="Cambria" w:eastAsia="Cambria" w:hAnsi="Cambria" w:cs="Cambria"/>
                <w:color w:val="000000"/>
                <w:lang w:val="id-ID"/>
              </w:rPr>
            </w:pPr>
            <w:r w:rsidRPr="00F37199">
              <w:rPr>
                <w:rFonts w:ascii="Cambria" w:eastAsia="Cambria" w:hAnsi="Cambria" w:cs="Cambria"/>
                <w:color w:val="000000"/>
                <w:lang w:val="id-ID"/>
              </w:rPr>
              <w:t>T-Statistic</w:t>
            </w:r>
          </w:p>
        </w:tc>
        <w:tc>
          <w:tcPr>
            <w:tcW w:w="0" w:type="auto"/>
            <w:tcMar>
              <w:top w:w="150" w:type="dxa"/>
              <w:left w:w="240" w:type="dxa"/>
              <w:bottom w:w="150" w:type="dxa"/>
              <w:right w:w="240" w:type="dxa"/>
            </w:tcMar>
            <w:vAlign w:val="center"/>
            <w:hideMark/>
          </w:tcPr>
          <w:p w:rsidR="005A7613" w:rsidRPr="00F37199" w:rsidRDefault="00CB6AA0" w:rsidP="00F37199">
            <w:pPr>
              <w:ind w:left="284"/>
              <w:rPr>
                <w:rFonts w:ascii="Cambria" w:eastAsia="Cambria" w:hAnsi="Cambria" w:cs="Cambria"/>
                <w:color w:val="000000"/>
                <w:lang w:val="id-ID"/>
              </w:rPr>
            </w:pPr>
            <w:r w:rsidRPr="00F37199">
              <w:rPr>
                <w:rFonts w:ascii="Cambria" w:eastAsia="Cambria" w:hAnsi="Cambria" w:cs="Cambria"/>
                <w:color w:val="000000"/>
                <w:lang w:val="id-ID"/>
              </w:rPr>
              <w:t>&gt; 1.96</w:t>
            </w:r>
          </w:p>
        </w:tc>
        <w:tc>
          <w:tcPr>
            <w:tcW w:w="2852" w:type="dxa"/>
            <w:tcMar>
              <w:top w:w="150" w:type="dxa"/>
              <w:left w:w="240" w:type="dxa"/>
              <w:bottom w:w="150" w:type="dxa"/>
              <w:right w:w="0" w:type="dxa"/>
            </w:tcMar>
            <w:vAlign w:val="center"/>
            <w:hideMark/>
          </w:tcPr>
          <w:p w:rsidR="005A7613" w:rsidRPr="00F37199" w:rsidRDefault="00CB6AA0" w:rsidP="00F37199">
            <w:pPr>
              <w:ind w:left="284"/>
              <w:rPr>
                <w:rFonts w:ascii="Cambria" w:eastAsia="Cambria" w:hAnsi="Cambria" w:cs="Cambria"/>
                <w:color w:val="000000"/>
                <w:lang w:val="id-ID"/>
              </w:rPr>
            </w:pPr>
            <w:r w:rsidRPr="00F37199">
              <w:rPr>
                <w:rFonts w:ascii="Cambria" w:eastAsia="Cambria" w:hAnsi="Cambria" w:cs="Cambria"/>
                <w:color w:val="000000"/>
                <w:lang w:val="id-ID"/>
              </w:rPr>
              <w:t>Significance at α = 0.05</w:t>
            </w:r>
          </w:p>
        </w:tc>
      </w:tr>
      <w:tr w:rsidR="00460557" w:rsidTr="00F37199">
        <w:trPr>
          <w:trHeight w:val="268"/>
          <w:jc w:val="center"/>
        </w:trPr>
        <w:tc>
          <w:tcPr>
            <w:tcW w:w="2268" w:type="dxa"/>
            <w:tcMar>
              <w:top w:w="150" w:type="dxa"/>
              <w:left w:w="0" w:type="dxa"/>
              <w:bottom w:w="150" w:type="dxa"/>
              <w:right w:w="240" w:type="dxa"/>
            </w:tcMar>
            <w:vAlign w:val="center"/>
            <w:hideMark/>
          </w:tcPr>
          <w:p w:rsidR="005A7613" w:rsidRPr="00F37199" w:rsidRDefault="00CB6AA0" w:rsidP="00F37199">
            <w:pPr>
              <w:ind w:left="284"/>
              <w:rPr>
                <w:rFonts w:ascii="Cambria" w:eastAsia="Cambria" w:hAnsi="Cambria" w:cs="Cambria"/>
                <w:color w:val="000000"/>
                <w:lang w:val="id-ID"/>
              </w:rPr>
            </w:pPr>
            <w:r w:rsidRPr="00F37199">
              <w:rPr>
                <w:rFonts w:ascii="Cambria" w:eastAsia="Cambria" w:hAnsi="Cambria" w:cs="Cambria"/>
                <w:color w:val="000000"/>
                <w:lang w:val="id-ID"/>
              </w:rPr>
              <w:t>P-Value</w:t>
            </w:r>
          </w:p>
        </w:tc>
        <w:tc>
          <w:tcPr>
            <w:tcW w:w="0" w:type="auto"/>
            <w:tcMar>
              <w:top w:w="150" w:type="dxa"/>
              <w:left w:w="240" w:type="dxa"/>
              <w:bottom w:w="150" w:type="dxa"/>
              <w:right w:w="240" w:type="dxa"/>
            </w:tcMar>
            <w:vAlign w:val="center"/>
            <w:hideMark/>
          </w:tcPr>
          <w:p w:rsidR="005A7613" w:rsidRPr="00F37199" w:rsidRDefault="00CB6AA0" w:rsidP="00F37199">
            <w:pPr>
              <w:ind w:left="284"/>
              <w:rPr>
                <w:rFonts w:ascii="Cambria" w:eastAsia="Cambria" w:hAnsi="Cambria" w:cs="Cambria"/>
                <w:color w:val="000000"/>
                <w:lang w:val="id-ID"/>
              </w:rPr>
            </w:pPr>
            <w:r w:rsidRPr="00F37199">
              <w:rPr>
                <w:rFonts w:ascii="Cambria" w:eastAsia="Cambria" w:hAnsi="Cambria" w:cs="Cambria"/>
                <w:color w:val="000000"/>
                <w:lang w:val="id-ID"/>
              </w:rPr>
              <w:t>&lt; 0.05</w:t>
            </w:r>
          </w:p>
        </w:tc>
        <w:tc>
          <w:tcPr>
            <w:tcW w:w="2852" w:type="dxa"/>
            <w:tcMar>
              <w:top w:w="150" w:type="dxa"/>
              <w:left w:w="240" w:type="dxa"/>
              <w:bottom w:w="150" w:type="dxa"/>
              <w:right w:w="0" w:type="dxa"/>
            </w:tcMar>
            <w:vAlign w:val="center"/>
            <w:hideMark/>
          </w:tcPr>
          <w:p w:rsidR="005A7613" w:rsidRPr="00F37199" w:rsidRDefault="00CB6AA0" w:rsidP="00F37199">
            <w:pPr>
              <w:ind w:left="284"/>
              <w:rPr>
                <w:rFonts w:ascii="Cambria" w:eastAsia="Cambria" w:hAnsi="Cambria" w:cs="Cambria"/>
                <w:color w:val="000000"/>
                <w:lang w:val="id-ID"/>
              </w:rPr>
            </w:pPr>
            <w:r w:rsidRPr="00F37199">
              <w:rPr>
                <w:rFonts w:ascii="Cambria" w:eastAsia="Cambria" w:hAnsi="Cambria" w:cs="Cambria"/>
                <w:color w:val="000000"/>
                <w:lang w:val="id-ID"/>
              </w:rPr>
              <w:t>Statistical significance</w:t>
            </w:r>
          </w:p>
        </w:tc>
      </w:tr>
      <w:tr w:rsidR="00460557" w:rsidTr="00F37199">
        <w:trPr>
          <w:trHeight w:val="268"/>
          <w:jc w:val="center"/>
        </w:trPr>
        <w:tc>
          <w:tcPr>
            <w:tcW w:w="2268" w:type="dxa"/>
            <w:tcMar>
              <w:top w:w="150" w:type="dxa"/>
              <w:left w:w="0" w:type="dxa"/>
              <w:bottom w:w="150" w:type="dxa"/>
              <w:right w:w="240" w:type="dxa"/>
            </w:tcMar>
            <w:vAlign w:val="center"/>
            <w:hideMark/>
          </w:tcPr>
          <w:p w:rsidR="005A7613" w:rsidRPr="00F37199" w:rsidRDefault="00CB6AA0" w:rsidP="00F37199">
            <w:pPr>
              <w:ind w:left="284"/>
              <w:rPr>
                <w:rFonts w:ascii="Cambria" w:eastAsia="Cambria" w:hAnsi="Cambria" w:cs="Cambria"/>
                <w:color w:val="000000"/>
                <w:lang w:val="id-ID"/>
              </w:rPr>
            </w:pPr>
            <w:r w:rsidRPr="00F37199">
              <w:rPr>
                <w:rFonts w:ascii="Cambria" w:eastAsia="Cambria" w:hAnsi="Cambria" w:cs="Cambria"/>
                <w:color w:val="000000"/>
                <w:lang w:val="id-ID"/>
              </w:rPr>
              <w:t>Confidence Interval</w:t>
            </w:r>
          </w:p>
        </w:tc>
        <w:tc>
          <w:tcPr>
            <w:tcW w:w="0" w:type="auto"/>
            <w:tcMar>
              <w:top w:w="150" w:type="dxa"/>
              <w:left w:w="240" w:type="dxa"/>
              <w:bottom w:w="150" w:type="dxa"/>
              <w:right w:w="240" w:type="dxa"/>
            </w:tcMar>
            <w:vAlign w:val="center"/>
            <w:hideMark/>
          </w:tcPr>
          <w:p w:rsidR="005A7613" w:rsidRPr="00F37199" w:rsidRDefault="00CB6AA0" w:rsidP="00F37199">
            <w:pPr>
              <w:ind w:left="284"/>
              <w:rPr>
                <w:rFonts w:ascii="Cambria" w:eastAsia="Cambria" w:hAnsi="Cambria" w:cs="Cambria"/>
                <w:color w:val="000000"/>
                <w:lang w:val="id-ID"/>
              </w:rPr>
            </w:pPr>
            <w:r w:rsidRPr="00F37199">
              <w:rPr>
                <w:rFonts w:ascii="Cambria" w:eastAsia="Cambria" w:hAnsi="Cambria" w:cs="Cambria"/>
                <w:color w:val="000000"/>
                <w:lang w:val="id-ID"/>
              </w:rPr>
              <w:t>Does not contain 0</w:t>
            </w:r>
          </w:p>
        </w:tc>
        <w:tc>
          <w:tcPr>
            <w:tcW w:w="2852" w:type="dxa"/>
            <w:tcMar>
              <w:top w:w="150" w:type="dxa"/>
              <w:left w:w="240" w:type="dxa"/>
              <w:bottom w:w="150" w:type="dxa"/>
              <w:right w:w="0" w:type="dxa"/>
            </w:tcMar>
            <w:vAlign w:val="center"/>
            <w:hideMark/>
          </w:tcPr>
          <w:p w:rsidR="005A7613" w:rsidRPr="00F37199" w:rsidRDefault="00CB6AA0" w:rsidP="00F37199">
            <w:pPr>
              <w:ind w:left="284"/>
              <w:rPr>
                <w:rFonts w:ascii="Cambria" w:eastAsia="Cambria" w:hAnsi="Cambria" w:cs="Cambria"/>
                <w:color w:val="000000"/>
                <w:lang w:val="id-ID"/>
              </w:rPr>
            </w:pPr>
            <w:r w:rsidRPr="00F37199">
              <w:rPr>
                <w:rFonts w:ascii="Cambria" w:eastAsia="Cambria" w:hAnsi="Cambria" w:cs="Cambria"/>
                <w:color w:val="000000"/>
                <w:lang w:val="id-ID"/>
              </w:rPr>
              <w:t>Estimation precision</w:t>
            </w:r>
          </w:p>
        </w:tc>
      </w:tr>
    </w:tbl>
    <w:p w:rsidR="00F37199" w:rsidRDefault="00CB6AA0" w:rsidP="00F37199">
      <w:pPr>
        <w:spacing w:before="120" w:after="60"/>
        <w:jc w:val="both"/>
        <w:rPr>
          <w:rFonts w:ascii="Cambria" w:eastAsia="Cambria" w:hAnsi="Cambria" w:cs="Cambria"/>
          <w:b/>
          <w:bCs/>
          <w:color w:val="000000"/>
          <w:sz w:val="24"/>
          <w:szCs w:val="24"/>
          <w:lang w:val="id-ID"/>
        </w:rPr>
      </w:pPr>
      <w:r w:rsidRPr="00192DE7">
        <w:rPr>
          <w:rFonts w:ascii="Cambria" w:eastAsia="Cambria" w:hAnsi="Cambria" w:cs="Cambria"/>
          <w:b/>
          <w:bCs/>
          <w:color w:val="000000"/>
          <w:sz w:val="24"/>
          <w:szCs w:val="24"/>
          <w:lang w:val="id-ID"/>
        </w:rPr>
        <w:t>Bootstrapping Procedure</w:t>
      </w:r>
    </w:p>
    <w:p w:rsidR="00F37199" w:rsidRDefault="00CB6AA0" w:rsidP="00CB6AA0">
      <w:pPr>
        <w:ind w:firstLine="567"/>
        <w:jc w:val="both"/>
        <w:rPr>
          <w:rFonts w:ascii="Cambria" w:eastAsia="Cambria" w:hAnsi="Cambria" w:cs="Cambria"/>
          <w:color w:val="000000"/>
          <w:sz w:val="24"/>
          <w:szCs w:val="24"/>
          <w:lang w:val="id-ID"/>
        </w:rPr>
      </w:pPr>
      <w:r w:rsidRPr="006C623C">
        <w:rPr>
          <w:rFonts w:ascii="Cambria" w:eastAsia="Cambria" w:hAnsi="Cambria" w:cs="Cambria"/>
          <w:color w:val="000000"/>
          <w:sz w:val="24"/>
          <w:szCs w:val="24"/>
          <w:lang w:val="id-ID"/>
        </w:rPr>
        <w:t>Bootstrapping was performed with the specifications (Hair et al., 2019)</w:t>
      </w:r>
      <w:r>
        <w:rPr>
          <w:rFonts w:ascii="Cambria" w:eastAsia="Cambria" w:hAnsi="Cambria" w:cs="Cambria"/>
          <w:color w:val="000000"/>
          <w:sz w:val="24"/>
          <w:szCs w:val="24"/>
          <w:lang w:val="id-ID"/>
        </w:rPr>
        <w:t>: n</w:t>
      </w:r>
      <w:r w:rsidRPr="006C623C">
        <w:rPr>
          <w:rFonts w:ascii="Cambria" w:eastAsia="Cambria" w:hAnsi="Cambria" w:cs="Cambria"/>
          <w:color w:val="000000"/>
          <w:sz w:val="24"/>
          <w:szCs w:val="24"/>
          <w:lang w:val="id-ID"/>
        </w:rPr>
        <w:t>umber of subsamples = 5,000 (recommended for publication)</w:t>
      </w:r>
      <w:r>
        <w:rPr>
          <w:rFonts w:ascii="Cambria" w:eastAsia="Cambria" w:hAnsi="Cambria" w:cs="Cambria"/>
          <w:color w:val="000000"/>
          <w:sz w:val="24"/>
          <w:szCs w:val="24"/>
          <w:lang w:val="id-ID"/>
        </w:rPr>
        <w:t xml:space="preserve">, </w:t>
      </w:r>
      <w:r w:rsidRPr="006C623C">
        <w:rPr>
          <w:rFonts w:ascii="Cambria" w:eastAsia="Cambria" w:hAnsi="Cambria" w:cs="Cambria"/>
          <w:color w:val="000000"/>
          <w:sz w:val="24"/>
          <w:szCs w:val="24"/>
          <w:lang w:val="id-ID"/>
        </w:rPr>
        <w:t>Type = Percentile bootstrap</w:t>
      </w:r>
      <w:r>
        <w:rPr>
          <w:rFonts w:ascii="Cambria" w:eastAsia="Cambria" w:hAnsi="Cambria" w:cs="Cambria"/>
          <w:color w:val="000000"/>
          <w:sz w:val="24"/>
          <w:szCs w:val="24"/>
          <w:lang w:val="id-ID"/>
        </w:rPr>
        <w:t xml:space="preserve">, and </w:t>
      </w:r>
      <w:r w:rsidRPr="006C623C">
        <w:rPr>
          <w:rFonts w:ascii="Cambria" w:eastAsia="Cambria" w:hAnsi="Cambria" w:cs="Cambria"/>
          <w:color w:val="000000"/>
          <w:sz w:val="24"/>
          <w:szCs w:val="24"/>
          <w:lang w:val="id-ID"/>
        </w:rPr>
        <w:t>Significance level = α = 5% (two-tailed)</w:t>
      </w:r>
      <w:r>
        <w:rPr>
          <w:rFonts w:ascii="Cambria" w:eastAsia="Cambria" w:hAnsi="Cambria" w:cs="Cambria"/>
          <w:color w:val="000000"/>
          <w:sz w:val="24"/>
          <w:szCs w:val="24"/>
          <w:lang w:val="id-ID"/>
        </w:rPr>
        <w:t>.</w:t>
      </w:r>
    </w:p>
    <w:p w:rsidR="0097766D" w:rsidRPr="00A24FAF" w:rsidRDefault="00CB6AA0" w:rsidP="00F37199">
      <w:pPr>
        <w:spacing w:before="240" w:after="120"/>
        <w:jc w:val="both"/>
        <w:rPr>
          <w:rFonts w:ascii="Cambria" w:eastAsia="Cambria" w:hAnsi="Cambria" w:cs="Cambria"/>
          <w:b/>
          <w:sz w:val="24"/>
          <w:szCs w:val="24"/>
        </w:rPr>
      </w:pPr>
      <w:r w:rsidRPr="00BB2F40">
        <w:rPr>
          <w:rFonts w:ascii="Cambria" w:eastAsia="Cambria" w:hAnsi="Cambria" w:cs="Cambria"/>
          <w:b/>
          <w:sz w:val="24"/>
          <w:szCs w:val="24"/>
        </w:rPr>
        <w:t xml:space="preserve">RESULTS AND DISCUSSION </w:t>
      </w:r>
    </w:p>
    <w:p w:rsidR="00F37199" w:rsidRDefault="00CB6AA0" w:rsidP="00CB6AA0">
      <w:pPr>
        <w:spacing w:before="120" w:after="60"/>
        <w:jc w:val="both"/>
        <w:rPr>
          <w:rFonts w:ascii="Cambria" w:eastAsia="Cambria" w:hAnsi="Cambria" w:cs="Cambria"/>
          <w:b/>
          <w:bCs/>
          <w:color w:val="000000"/>
          <w:sz w:val="24"/>
          <w:szCs w:val="24"/>
          <w:lang w:val="id-ID"/>
        </w:rPr>
      </w:pPr>
      <w:r w:rsidRPr="006C623C">
        <w:rPr>
          <w:rFonts w:ascii="Cambria" w:eastAsia="Cambria" w:hAnsi="Cambria" w:cs="Cambria"/>
          <w:b/>
          <w:bCs/>
          <w:color w:val="000000"/>
          <w:sz w:val="24"/>
          <w:szCs w:val="24"/>
          <w:lang w:val="id-ID"/>
        </w:rPr>
        <w:t>Respondent Characteristics</w:t>
      </w:r>
    </w:p>
    <w:p w:rsidR="00F37199" w:rsidRPr="00615072" w:rsidRDefault="00CB6AA0" w:rsidP="00F37199">
      <w:pPr>
        <w:spacing w:before="120" w:after="60"/>
        <w:jc w:val="center"/>
        <w:rPr>
          <w:rFonts w:ascii="Cambria" w:eastAsia="Cambria" w:hAnsi="Cambria" w:cs="Cambria"/>
          <w:color w:val="000000"/>
          <w:sz w:val="24"/>
          <w:szCs w:val="24"/>
          <w:lang w:val="id-ID"/>
        </w:rPr>
      </w:pPr>
      <w:r w:rsidRPr="000A6DB5">
        <w:rPr>
          <w:rFonts w:ascii="Cambria" w:eastAsia="Cambria" w:hAnsi="Cambria" w:cs="Cambria"/>
          <w:b/>
          <w:bCs/>
          <w:color w:val="000000"/>
          <w:sz w:val="24"/>
          <w:szCs w:val="24"/>
          <w:lang w:val="id-ID"/>
        </w:rPr>
        <w:t>Table 10</w:t>
      </w:r>
      <w:r w:rsidR="000A6DB5">
        <w:rPr>
          <w:rFonts w:ascii="Cambria" w:eastAsia="Cambria" w:hAnsi="Cambria" w:cs="Cambria"/>
          <w:b/>
          <w:bCs/>
          <w:color w:val="000000"/>
          <w:sz w:val="24"/>
          <w:szCs w:val="24"/>
          <w:lang w:val="id-ID"/>
        </w:rPr>
        <w:t>.</w:t>
      </w:r>
      <w:r w:rsidRPr="00615072">
        <w:rPr>
          <w:rFonts w:ascii="Cambria" w:eastAsia="Cambria" w:hAnsi="Cambria" w:cs="Cambria"/>
          <w:color w:val="000000"/>
          <w:sz w:val="24"/>
          <w:szCs w:val="24"/>
          <w:lang w:val="id-ID"/>
        </w:rPr>
        <w:t> Respondent Profile (N = 105)</w:t>
      </w:r>
    </w:p>
    <w:tbl>
      <w:tblPr>
        <w:tblW w:w="0" w:type="auto"/>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530"/>
        <w:gridCol w:w="1968"/>
        <w:gridCol w:w="1454"/>
        <w:gridCol w:w="1513"/>
      </w:tblGrid>
      <w:tr w:rsidR="00460557" w:rsidTr="00F37199">
        <w:trPr>
          <w:tblHeader/>
          <w:jc w:val="cent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rsidR="00F37199" w:rsidRPr="00F37199" w:rsidRDefault="00CB6AA0" w:rsidP="00F37199">
            <w:pPr>
              <w:jc w:val="center"/>
              <w:rPr>
                <w:rFonts w:ascii="Cambria" w:eastAsia="Cambria" w:hAnsi="Cambria" w:cs="Cambria"/>
                <w:b/>
                <w:color w:val="000000"/>
                <w:lang w:val="id-ID"/>
              </w:rPr>
            </w:pPr>
            <w:r w:rsidRPr="00F37199">
              <w:rPr>
                <w:rFonts w:ascii="Cambria" w:eastAsia="Cambria" w:hAnsi="Cambria" w:cs="Cambria"/>
                <w:b/>
                <w:color w:val="000000"/>
                <w:lang w:val="id-ID"/>
              </w:rPr>
              <w:t>Characteristic</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F37199" w:rsidRPr="00F37199" w:rsidRDefault="00CB6AA0" w:rsidP="00F37199">
            <w:pPr>
              <w:jc w:val="center"/>
              <w:rPr>
                <w:rFonts w:ascii="Cambria" w:eastAsia="Cambria" w:hAnsi="Cambria" w:cs="Cambria"/>
                <w:b/>
                <w:color w:val="000000"/>
                <w:lang w:val="id-ID"/>
              </w:rPr>
            </w:pPr>
            <w:r w:rsidRPr="00F37199">
              <w:rPr>
                <w:rFonts w:ascii="Cambria" w:eastAsia="Cambria" w:hAnsi="Cambria" w:cs="Cambria"/>
                <w:b/>
                <w:color w:val="000000"/>
                <w:lang w:val="id-ID"/>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F37199" w:rsidRPr="00F37199" w:rsidRDefault="00CB6AA0" w:rsidP="00F37199">
            <w:pPr>
              <w:jc w:val="center"/>
              <w:rPr>
                <w:rFonts w:ascii="Cambria" w:eastAsia="Cambria" w:hAnsi="Cambria" w:cs="Cambria"/>
                <w:b/>
                <w:color w:val="000000"/>
                <w:lang w:val="id-ID"/>
              </w:rPr>
            </w:pPr>
            <w:r w:rsidRPr="00F37199">
              <w:rPr>
                <w:rFonts w:ascii="Cambria" w:eastAsia="Cambria" w:hAnsi="Cambria" w:cs="Cambria"/>
                <w:b/>
                <w:color w:val="000000"/>
                <w:lang w:val="id-ID"/>
              </w:rPr>
              <w:t>Frequency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F37199" w:rsidRPr="00F37199" w:rsidRDefault="00CB6AA0" w:rsidP="00F37199">
            <w:pPr>
              <w:jc w:val="center"/>
              <w:rPr>
                <w:rFonts w:ascii="Cambria" w:eastAsia="Cambria" w:hAnsi="Cambria" w:cs="Cambria"/>
                <w:b/>
                <w:color w:val="000000"/>
                <w:lang w:val="id-ID"/>
              </w:rPr>
            </w:pPr>
            <w:r w:rsidRPr="00F37199">
              <w:rPr>
                <w:rFonts w:ascii="Cambria" w:eastAsia="Cambria" w:hAnsi="Cambria" w:cs="Cambria"/>
                <w:b/>
                <w:color w:val="000000"/>
                <w:lang w:val="id-ID"/>
              </w:rPr>
              <w:t>Percentage</w:t>
            </w:r>
          </w:p>
        </w:tc>
      </w:tr>
      <w:tr w:rsidR="00460557" w:rsidTr="00F37199">
        <w:trPr>
          <w:jc w:val="center"/>
        </w:trPr>
        <w:tc>
          <w:tcPr>
            <w:tcW w:w="0" w:type="auto"/>
            <w:tcBorders>
              <w:top w:val="single" w:sz="4" w:space="0" w:color="auto"/>
            </w:tcBorders>
            <w:tcMar>
              <w:top w:w="150" w:type="dxa"/>
              <w:left w:w="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MSME Type</w:t>
            </w:r>
          </w:p>
        </w:tc>
        <w:tc>
          <w:tcPr>
            <w:tcW w:w="0" w:type="auto"/>
            <w:tcBorders>
              <w:top w:val="single" w:sz="4" w:space="0" w:color="auto"/>
            </w:tcBorders>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Culinary</w:t>
            </w:r>
          </w:p>
        </w:tc>
        <w:tc>
          <w:tcPr>
            <w:tcW w:w="0" w:type="auto"/>
            <w:tcBorders>
              <w:top w:val="single" w:sz="4" w:space="0" w:color="auto"/>
            </w:tcBorders>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35</w:t>
            </w:r>
          </w:p>
        </w:tc>
        <w:tc>
          <w:tcPr>
            <w:tcW w:w="0" w:type="auto"/>
            <w:tcBorders>
              <w:top w:val="single" w:sz="4" w:space="0" w:color="auto"/>
            </w:tcBorders>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33.3%</w:t>
            </w:r>
          </w:p>
        </w:tc>
      </w:tr>
      <w:tr w:rsidR="00460557" w:rsidTr="00F37199">
        <w:trPr>
          <w:jc w:val="center"/>
        </w:trPr>
        <w:tc>
          <w:tcPr>
            <w:tcW w:w="0" w:type="auto"/>
            <w:tcMar>
              <w:top w:w="150" w:type="dxa"/>
              <w:left w:w="0" w:type="dxa"/>
              <w:bottom w:w="150" w:type="dxa"/>
              <w:right w:w="240" w:type="dxa"/>
            </w:tcMar>
            <w:vAlign w:val="center"/>
            <w:hideMark/>
          </w:tcPr>
          <w:p w:rsidR="00F37199" w:rsidRPr="00F37199" w:rsidRDefault="00F37199" w:rsidP="00846953">
            <w:pPr>
              <w:jc w:val="both"/>
              <w:rPr>
                <w:rFonts w:ascii="Cambria" w:eastAsia="Cambria" w:hAnsi="Cambria" w:cs="Cambria"/>
                <w:bCs/>
                <w:color w:val="000000"/>
                <w:lang w:val="id-ID"/>
              </w:rPr>
            </w:pP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Fashion</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22</w:t>
            </w:r>
          </w:p>
        </w:tc>
        <w:tc>
          <w:tcPr>
            <w:tcW w:w="0" w:type="auto"/>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21.0%</w:t>
            </w:r>
          </w:p>
        </w:tc>
      </w:tr>
      <w:tr w:rsidR="00460557" w:rsidTr="00F37199">
        <w:trPr>
          <w:jc w:val="center"/>
        </w:trPr>
        <w:tc>
          <w:tcPr>
            <w:tcW w:w="0" w:type="auto"/>
            <w:tcMar>
              <w:top w:w="150" w:type="dxa"/>
              <w:left w:w="0" w:type="dxa"/>
              <w:bottom w:w="150" w:type="dxa"/>
              <w:right w:w="240" w:type="dxa"/>
            </w:tcMar>
            <w:vAlign w:val="center"/>
            <w:hideMark/>
          </w:tcPr>
          <w:p w:rsidR="00F37199" w:rsidRPr="00F37199" w:rsidRDefault="00F37199" w:rsidP="00846953">
            <w:pPr>
              <w:jc w:val="both"/>
              <w:rPr>
                <w:rFonts w:ascii="Cambria" w:eastAsia="Cambria" w:hAnsi="Cambria" w:cs="Cambria"/>
                <w:bCs/>
                <w:color w:val="000000"/>
                <w:lang w:val="id-ID"/>
              </w:rPr>
            </w:pP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Craft</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18</w:t>
            </w:r>
          </w:p>
        </w:tc>
        <w:tc>
          <w:tcPr>
            <w:tcW w:w="0" w:type="auto"/>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17.1%</w:t>
            </w:r>
          </w:p>
        </w:tc>
      </w:tr>
      <w:tr w:rsidR="00460557" w:rsidTr="00F37199">
        <w:trPr>
          <w:jc w:val="center"/>
        </w:trPr>
        <w:tc>
          <w:tcPr>
            <w:tcW w:w="0" w:type="auto"/>
            <w:tcMar>
              <w:top w:w="150" w:type="dxa"/>
              <w:left w:w="0" w:type="dxa"/>
              <w:bottom w:w="150" w:type="dxa"/>
              <w:right w:w="240" w:type="dxa"/>
            </w:tcMar>
            <w:vAlign w:val="center"/>
            <w:hideMark/>
          </w:tcPr>
          <w:p w:rsidR="00F37199" w:rsidRPr="00F37199" w:rsidRDefault="00F37199" w:rsidP="00846953">
            <w:pPr>
              <w:jc w:val="both"/>
              <w:rPr>
                <w:rFonts w:ascii="Cambria" w:eastAsia="Cambria" w:hAnsi="Cambria" w:cs="Cambria"/>
                <w:bCs/>
                <w:color w:val="000000"/>
                <w:lang w:val="id-ID"/>
              </w:rPr>
            </w:pP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Services</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16</w:t>
            </w:r>
          </w:p>
        </w:tc>
        <w:tc>
          <w:tcPr>
            <w:tcW w:w="0" w:type="auto"/>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15.2%</w:t>
            </w:r>
          </w:p>
        </w:tc>
      </w:tr>
      <w:tr w:rsidR="00460557" w:rsidTr="00F37199">
        <w:trPr>
          <w:jc w:val="center"/>
        </w:trPr>
        <w:tc>
          <w:tcPr>
            <w:tcW w:w="0" w:type="auto"/>
            <w:tcMar>
              <w:top w:w="150" w:type="dxa"/>
              <w:left w:w="0" w:type="dxa"/>
              <w:bottom w:w="150" w:type="dxa"/>
              <w:right w:w="240" w:type="dxa"/>
            </w:tcMar>
            <w:vAlign w:val="center"/>
            <w:hideMark/>
          </w:tcPr>
          <w:p w:rsidR="00F37199" w:rsidRPr="00F37199" w:rsidRDefault="00F37199" w:rsidP="00846953">
            <w:pPr>
              <w:jc w:val="both"/>
              <w:rPr>
                <w:rFonts w:ascii="Cambria" w:eastAsia="Cambria" w:hAnsi="Cambria" w:cs="Cambria"/>
                <w:bCs/>
                <w:color w:val="000000"/>
                <w:lang w:val="id-ID"/>
              </w:rPr>
            </w:pP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Trading</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14</w:t>
            </w:r>
          </w:p>
        </w:tc>
        <w:tc>
          <w:tcPr>
            <w:tcW w:w="0" w:type="auto"/>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13.3%</w:t>
            </w:r>
          </w:p>
        </w:tc>
      </w:tr>
      <w:tr w:rsidR="00460557" w:rsidTr="00F37199">
        <w:trPr>
          <w:jc w:val="center"/>
        </w:trPr>
        <w:tc>
          <w:tcPr>
            <w:tcW w:w="0" w:type="auto"/>
            <w:tcMar>
              <w:top w:w="150" w:type="dxa"/>
              <w:left w:w="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Business Age</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&lt; 1 year</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12</w:t>
            </w:r>
          </w:p>
        </w:tc>
        <w:tc>
          <w:tcPr>
            <w:tcW w:w="0" w:type="auto"/>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11.4%</w:t>
            </w:r>
          </w:p>
        </w:tc>
      </w:tr>
      <w:tr w:rsidR="00460557" w:rsidTr="00F37199">
        <w:trPr>
          <w:jc w:val="center"/>
        </w:trPr>
        <w:tc>
          <w:tcPr>
            <w:tcW w:w="0" w:type="auto"/>
            <w:tcMar>
              <w:top w:w="150" w:type="dxa"/>
              <w:left w:w="0" w:type="dxa"/>
              <w:bottom w:w="150" w:type="dxa"/>
              <w:right w:w="240" w:type="dxa"/>
            </w:tcMar>
            <w:vAlign w:val="center"/>
            <w:hideMark/>
          </w:tcPr>
          <w:p w:rsidR="00F37199" w:rsidRPr="00F37199" w:rsidRDefault="00F37199" w:rsidP="00846953">
            <w:pPr>
              <w:jc w:val="both"/>
              <w:rPr>
                <w:rFonts w:ascii="Cambria" w:eastAsia="Cambria" w:hAnsi="Cambria" w:cs="Cambria"/>
                <w:bCs/>
                <w:color w:val="000000"/>
                <w:lang w:val="id-ID"/>
              </w:rPr>
            </w:pP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1-3 years</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28</w:t>
            </w:r>
          </w:p>
        </w:tc>
        <w:tc>
          <w:tcPr>
            <w:tcW w:w="0" w:type="auto"/>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26.7%</w:t>
            </w:r>
          </w:p>
        </w:tc>
      </w:tr>
      <w:tr w:rsidR="00460557" w:rsidTr="00F37199">
        <w:trPr>
          <w:jc w:val="center"/>
        </w:trPr>
        <w:tc>
          <w:tcPr>
            <w:tcW w:w="0" w:type="auto"/>
            <w:tcMar>
              <w:top w:w="150" w:type="dxa"/>
              <w:left w:w="0" w:type="dxa"/>
              <w:bottom w:w="150" w:type="dxa"/>
              <w:right w:w="240" w:type="dxa"/>
            </w:tcMar>
            <w:vAlign w:val="center"/>
            <w:hideMark/>
          </w:tcPr>
          <w:p w:rsidR="00F37199" w:rsidRPr="00F37199" w:rsidRDefault="00F37199" w:rsidP="00846953">
            <w:pPr>
              <w:jc w:val="both"/>
              <w:rPr>
                <w:rFonts w:ascii="Cambria" w:eastAsia="Cambria" w:hAnsi="Cambria" w:cs="Cambria"/>
                <w:bCs/>
                <w:color w:val="000000"/>
                <w:lang w:val="id-ID"/>
              </w:rPr>
            </w:pP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3-5 years</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31</w:t>
            </w:r>
          </w:p>
        </w:tc>
        <w:tc>
          <w:tcPr>
            <w:tcW w:w="0" w:type="auto"/>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29.5%</w:t>
            </w:r>
          </w:p>
        </w:tc>
      </w:tr>
      <w:tr w:rsidR="00460557" w:rsidTr="00F37199">
        <w:trPr>
          <w:jc w:val="center"/>
        </w:trPr>
        <w:tc>
          <w:tcPr>
            <w:tcW w:w="0" w:type="auto"/>
            <w:tcMar>
              <w:top w:w="150" w:type="dxa"/>
              <w:left w:w="0" w:type="dxa"/>
              <w:bottom w:w="150" w:type="dxa"/>
              <w:right w:w="240" w:type="dxa"/>
            </w:tcMar>
            <w:vAlign w:val="center"/>
            <w:hideMark/>
          </w:tcPr>
          <w:p w:rsidR="00F37199" w:rsidRPr="00F37199" w:rsidRDefault="00F37199" w:rsidP="00846953">
            <w:pPr>
              <w:jc w:val="both"/>
              <w:rPr>
                <w:rFonts w:ascii="Cambria" w:eastAsia="Cambria" w:hAnsi="Cambria" w:cs="Cambria"/>
                <w:bCs/>
                <w:color w:val="000000"/>
                <w:lang w:val="id-ID"/>
              </w:rPr>
            </w:pP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5-10 years</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22</w:t>
            </w:r>
          </w:p>
        </w:tc>
        <w:tc>
          <w:tcPr>
            <w:tcW w:w="0" w:type="auto"/>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21.0%</w:t>
            </w:r>
          </w:p>
        </w:tc>
      </w:tr>
      <w:tr w:rsidR="00460557" w:rsidTr="00F37199">
        <w:trPr>
          <w:jc w:val="center"/>
        </w:trPr>
        <w:tc>
          <w:tcPr>
            <w:tcW w:w="0" w:type="auto"/>
            <w:tcMar>
              <w:top w:w="150" w:type="dxa"/>
              <w:left w:w="0" w:type="dxa"/>
              <w:bottom w:w="150" w:type="dxa"/>
              <w:right w:w="240" w:type="dxa"/>
            </w:tcMar>
            <w:vAlign w:val="center"/>
            <w:hideMark/>
          </w:tcPr>
          <w:p w:rsidR="00F37199" w:rsidRPr="00F37199" w:rsidRDefault="00F37199" w:rsidP="00846953">
            <w:pPr>
              <w:jc w:val="both"/>
              <w:rPr>
                <w:rFonts w:ascii="Cambria" w:eastAsia="Cambria" w:hAnsi="Cambria" w:cs="Cambria"/>
                <w:bCs/>
                <w:color w:val="000000"/>
                <w:lang w:val="id-ID"/>
              </w:rPr>
            </w:pP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&gt; 10 years</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12</w:t>
            </w:r>
          </w:p>
        </w:tc>
        <w:tc>
          <w:tcPr>
            <w:tcW w:w="0" w:type="auto"/>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11.4%</w:t>
            </w:r>
          </w:p>
        </w:tc>
      </w:tr>
      <w:tr w:rsidR="00460557" w:rsidTr="00F37199">
        <w:trPr>
          <w:jc w:val="center"/>
        </w:trPr>
        <w:tc>
          <w:tcPr>
            <w:tcW w:w="0" w:type="auto"/>
            <w:tcMar>
              <w:top w:w="150" w:type="dxa"/>
              <w:left w:w="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Location</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Greater Surabaya</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30</w:t>
            </w:r>
          </w:p>
        </w:tc>
        <w:tc>
          <w:tcPr>
            <w:tcW w:w="0" w:type="auto"/>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28.6%</w:t>
            </w:r>
          </w:p>
        </w:tc>
      </w:tr>
      <w:tr w:rsidR="00460557" w:rsidTr="00F37199">
        <w:trPr>
          <w:jc w:val="center"/>
        </w:trPr>
        <w:tc>
          <w:tcPr>
            <w:tcW w:w="0" w:type="auto"/>
            <w:tcMar>
              <w:top w:w="150" w:type="dxa"/>
              <w:left w:w="0" w:type="dxa"/>
              <w:bottom w:w="150" w:type="dxa"/>
              <w:right w:w="240" w:type="dxa"/>
            </w:tcMar>
            <w:vAlign w:val="center"/>
            <w:hideMark/>
          </w:tcPr>
          <w:p w:rsidR="00F37199" w:rsidRPr="00F37199" w:rsidRDefault="00F37199" w:rsidP="00846953">
            <w:pPr>
              <w:jc w:val="both"/>
              <w:rPr>
                <w:rFonts w:ascii="Cambria" w:eastAsia="Cambria" w:hAnsi="Cambria" w:cs="Cambria"/>
                <w:bCs/>
                <w:color w:val="000000"/>
                <w:lang w:val="id-ID"/>
              </w:rPr>
            </w:pP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Greater Malang</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25</w:t>
            </w:r>
          </w:p>
        </w:tc>
        <w:tc>
          <w:tcPr>
            <w:tcW w:w="0" w:type="auto"/>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23.8%</w:t>
            </w:r>
          </w:p>
        </w:tc>
      </w:tr>
      <w:tr w:rsidR="00460557" w:rsidTr="00F37199">
        <w:trPr>
          <w:jc w:val="center"/>
        </w:trPr>
        <w:tc>
          <w:tcPr>
            <w:tcW w:w="0" w:type="auto"/>
            <w:tcMar>
              <w:top w:w="150" w:type="dxa"/>
              <w:left w:w="0" w:type="dxa"/>
              <w:bottom w:w="150" w:type="dxa"/>
              <w:right w:w="240" w:type="dxa"/>
            </w:tcMar>
            <w:vAlign w:val="center"/>
            <w:hideMark/>
          </w:tcPr>
          <w:p w:rsidR="00F37199" w:rsidRPr="00F37199" w:rsidRDefault="00F37199" w:rsidP="00846953">
            <w:pPr>
              <w:jc w:val="both"/>
              <w:rPr>
                <w:rFonts w:ascii="Cambria" w:eastAsia="Cambria" w:hAnsi="Cambria" w:cs="Cambria"/>
                <w:bCs/>
                <w:color w:val="000000"/>
                <w:lang w:val="id-ID"/>
              </w:rPr>
            </w:pP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Tapal Kuda</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20</w:t>
            </w:r>
          </w:p>
        </w:tc>
        <w:tc>
          <w:tcPr>
            <w:tcW w:w="0" w:type="auto"/>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19.0%</w:t>
            </w:r>
          </w:p>
        </w:tc>
      </w:tr>
      <w:tr w:rsidR="00460557" w:rsidTr="00F37199">
        <w:trPr>
          <w:jc w:val="center"/>
        </w:trPr>
        <w:tc>
          <w:tcPr>
            <w:tcW w:w="0" w:type="auto"/>
            <w:tcMar>
              <w:top w:w="150" w:type="dxa"/>
              <w:left w:w="0" w:type="dxa"/>
              <w:bottom w:w="150" w:type="dxa"/>
              <w:right w:w="240" w:type="dxa"/>
            </w:tcMar>
            <w:vAlign w:val="center"/>
            <w:hideMark/>
          </w:tcPr>
          <w:p w:rsidR="00F37199" w:rsidRPr="00F37199" w:rsidRDefault="00F37199" w:rsidP="00846953">
            <w:pPr>
              <w:jc w:val="both"/>
              <w:rPr>
                <w:rFonts w:ascii="Cambria" w:eastAsia="Cambria" w:hAnsi="Cambria" w:cs="Cambria"/>
                <w:bCs/>
                <w:color w:val="000000"/>
                <w:lang w:val="id-ID"/>
              </w:rPr>
            </w:pP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Madura</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15</w:t>
            </w:r>
          </w:p>
        </w:tc>
        <w:tc>
          <w:tcPr>
            <w:tcW w:w="0" w:type="auto"/>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14.3%</w:t>
            </w:r>
          </w:p>
        </w:tc>
      </w:tr>
      <w:tr w:rsidR="00460557" w:rsidTr="00F37199">
        <w:trPr>
          <w:jc w:val="center"/>
        </w:trPr>
        <w:tc>
          <w:tcPr>
            <w:tcW w:w="0" w:type="auto"/>
            <w:tcMar>
              <w:top w:w="150" w:type="dxa"/>
              <w:left w:w="0" w:type="dxa"/>
              <w:bottom w:w="150" w:type="dxa"/>
              <w:right w:w="240" w:type="dxa"/>
            </w:tcMar>
            <w:vAlign w:val="center"/>
            <w:hideMark/>
          </w:tcPr>
          <w:p w:rsidR="00F37199" w:rsidRPr="00F37199" w:rsidRDefault="00F37199" w:rsidP="00846953">
            <w:pPr>
              <w:jc w:val="both"/>
              <w:rPr>
                <w:rFonts w:ascii="Cambria" w:eastAsia="Cambria" w:hAnsi="Cambria" w:cs="Cambria"/>
                <w:bCs/>
                <w:color w:val="000000"/>
                <w:lang w:val="id-ID"/>
              </w:rPr>
            </w:pP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Others</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15</w:t>
            </w:r>
          </w:p>
        </w:tc>
        <w:tc>
          <w:tcPr>
            <w:tcW w:w="0" w:type="auto"/>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14.3%</w:t>
            </w:r>
          </w:p>
        </w:tc>
      </w:tr>
    </w:tbl>
    <w:p w:rsidR="00F37199" w:rsidRDefault="00CB6AA0" w:rsidP="00F37199">
      <w:pPr>
        <w:spacing w:before="120" w:after="60"/>
        <w:jc w:val="both"/>
        <w:rPr>
          <w:rFonts w:ascii="Cambria" w:eastAsia="Cambria" w:hAnsi="Cambria" w:cs="Cambria"/>
          <w:b/>
          <w:bCs/>
          <w:color w:val="000000"/>
          <w:sz w:val="24"/>
          <w:szCs w:val="24"/>
          <w:lang w:val="id-ID"/>
        </w:rPr>
      </w:pPr>
      <w:r w:rsidRPr="006C623C">
        <w:rPr>
          <w:rFonts w:ascii="Cambria" w:eastAsia="Cambria" w:hAnsi="Cambria" w:cs="Cambria"/>
          <w:b/>
          <w:bCs/>
          <w:color w:val="000000"/>
          <w:sz w:val="24"/>
          <w:szCs w:val="24"/>
          <w:lang w:val="id-ID"/>
        </w:rPr>
        <w:t>Descriptive Statistics</w:t>
      </w:r>
    </w:p>
    <w:p w:rsidR="00F37199" w:rsidRDefault="00CB6AA0" w:rsidP="00CB6AA0">
      <w:pPr>
        <w:spacing w:before="60" w:after="60"/>
        <w:jc w:val="both"/>
        <w:rPr>
          <w:rFonts w:ascii="Cambria" w:eastAsia="Cambria" w:hAnsi="Cambria" w:cs="Cambria"/>
          <w:b/>
          <w:bCs/>
          <w:color w:val="000000"/>
          <w:sz w:val="24"/>
          <w:szCs w:val="24"/>
          <w:lang w:val="id-ID"/>
        </w:rPr>
      </w:pPr>
      <w:r w:rsidRPr="006C623C">
        <w:rPr>
          <w:rFonts w:ascii="Cambria" w:eastAsia="Cambria" w:hAnsi="Cambria" w:cs="Cambria"/>
          <w:b/>
          <w:bCs/>
          <w:color w:val="000000"/>
          <w:sz w:val="24"/>
          <w:szCs w:val="24"/>
          <w:lang w:val="id-ID"/>
        </w:rPr>
        <w:t>Level of Financial Literacy</w:t>
      </w:r>
    </w:p>
    <w:p w:rsidR="00F37199" w:rsidRPr="006C623C" w:rsidRDefault="00CB6AA0" w:rsidP="00CB6AA0">
      <w:pPr>
        <w:spacing w:before="60" w:after="60"/>
        <w:jc w:val="center"/>
        <w:rPr>
          <w:rFonts w:ascii="Cambria" w:eastAsia="Cambria" w:hAnsi="Cambria" w:cs="Cambria"/>
          <w:b/>
          <w:color w:val="000000"/>
          <w:sz w:val="24"/>
          <w:szCs w:val="24"/>
          <w:lang w:val="id-ID"/>
        </w:rPr>
      </w:pPr>
      <w:r w:rsidRPr="006C623C">
        <w:rPr>
          <w:rFonts w:ascii="Cambria" w:eastAsia="Cambria" w:hAnsi="Cambria" w:cs="Cambria"/>
          <w:b/>
          <w:bCs/>
          <w:color w:val="000000"/>
          <w:sz w:val="24"/>
          <w:szCs w:val="24"/>
          <w:lang w:val="id-ID"/>
        </w:rPr>
        <w:t xml:space="preserve">Table </w:t>
      </w:r>
      <w:r>
        <w:rPr>
          <w:rFonts w:ascii="Cambria" w:eastAsia="Cambria" w:hAnsi="Cambria" w:cs="Cambria"/>
          <w:b/>
          <w:bCs/>
          <w:color w:val="000000"/>
          <w:sz w:val="24"/>
          <w:szCs w:val="24"/>
          <w:lang w:val="id-ID"/>
        </w:rPr>
        <w:t>11</w:t>
      </w:r>
      <w:r w:rsidR="000A6DB5">
        <w:rPr>
          <w:rFonts w:ascii="Cambria" w:eastAsia="Cambria" w:hAnsi="Cambria" w:cs="Cambria"/>
          <w:b/>
          <w:bCs/>
          <w:color w:val="000000"/>
          <w:sz w:val="24"/>
          <w:szCs w:val="24"/>
          <w:lang w:val="id-ID"/>
        </w:rPr>
        <w:t>.</w:t>
      </w:r>
      <w:r w:rsidRPr="006C623C">
        <w:rPr>
          <w:rFonts w:ascii="Cambria" w:eastAsia="Cambria" w:hAnsi="Cambria" w:cs="Cambria"/>
          <w:b/>
          <w:color w:val="000000"/>
          <w:sz w:val="24"/>
          <w:szCs w:val="24"/>
          <w:lang w:val="id-ID"/>
        </w:rPr>
        <w:t> </w:t>
      </w:r>
      <w:r w:rsidRPr="00615072">
        <w:rPr>
          <w:rFonts w:ascii="Cambria" w:eastAsia="Cambria" w:hAnsi="Cambria" w:cs="Cambria"/>
          <w:bCs/>
          <w:color w:val="000000"/>
          <w:sz w:val="24"/>
          <w:szCs w:val="24"/>
          <w:lang w:val="id-ID"/>
        </w:rPr>
        <w:t>Financial Literacy Categorization of Respondents</w:t>
      </w:r>
    </w:p>
    <w:tbl>
      <w:tblPr>
        <w:tblW w:w="0" w:type="auto"/>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829"/>
        <w:gridCol w:w="1619"/>
        <w:gridCol w:w="1454"/>
        <w:gridCol w:w="1513"/>
      </w:tblGrid>
      <w:tr w:rsidR="00460557" w:rsidTr="00F37199">
        <w:trPr>
          <w:tblHeader/>
          <w:jc w:val="cent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rsidR="00F37199" w:rsidRPr="00F37199" w:rsidRDefault="00CB6AA0" w:rsidP="00846953">
            <w:pPr>
              <w:jc w:val="both"/>
              <w:rPr>
                <w:rFonts w:ascii="Cambria" w:eastAsia="Cambria" w:hAnsi="Cambria" w:cs="Cambria"/>
                <w:b/>
                <w:color w:val="000000"/>
                <w:lang w:val="id-ID"/>
              </w:rPr>
            </w:pPr>
            <w:r w:rsidRPr="00F37199">
              <w:rPr>
                <w:rFonts w:ascii="Cambria" w:eastAsia="Cambria" w:hAnsi="Cambria" w:cs="Cambria"/>
                <w:b/>
                <w:color w:val="000000"/>
                <w:lang w:val="id-ID"/>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
                <w:color w:val="000000"/>
                <w:lang w:val="id-ID"/>
              </w:rPr>
            </w:pPr>
            <w:r w:rsidRPr="00F37199">
              <w:rPr>
                <w:rFonts w:ascii="Cambria" w:eastAsia="Cambria" w:hAnsi="Cambria" w:cs="Cambria"/>
                <w:b/>
                <w:color w:val="000000"/>
                <w:lang w:val="id-ID"/>
              </w:rPr>
              <w:t>Score Range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
                <w:color w:val="000000"/>
                <w:lang w:val="id-ID"/>
              </w:rPr>
            </w:pPr>
            <w:r w:rsidRPr="00F37199">
              <w:rPr>
                <w:rFonts w:ascii="Cambria" w:eastAsia="Cambria" w:hAnsi="Cambria" w:cs="Cambria"/>
                <w:b/>
                <w:color w:val="000000"/>
                <w:lang w:val="id-ID"/>
              </w:rPr>
              <w:t>Frequency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
                <w:color w:val="000000"/>
                <w:lang w:val="id-ID"/>
              </w:rPr>
            </w:pPr>
            <w:r w:rsidRPr="00F37199">
              <w:rPr>
                <w:rFonts w:ascii="Cambria" w:eastAsia="Cambria" w:hAnsi="Cambria" w:cs="Cambria"/>
                <w:b/>
                <w:color w:val="000000"/>
                <w:lang w:val="id-ID"/>
              </w:rPr>
              <w:t>Percentage</w:t>
            </w:r>
          </w:p>
        </w:tc>
      </w:tr>
      <w:tr w:rsidR="00460557" w:rsidTr="00F37199">
        <w:trPr>
          <w:jc w:val="center"/>
        </w:trPr>
        <w:tc>
          <w:tcPr>
            <w:tcW w:w="0" w:type="auto"/>
            <w:tcBorders>
              <w:top w:val="single" w:sz="4" w:space="0" w:color="auto"/>
            </w:tcBorders>
            <w:tcMar>
              <w:top w:w="150" w:type="dxa"/>
              <w:left w:w="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High (≥ 80%)</w:t>
            </w:r>
          </w:p>
        </w:tc>
        <w:tc>
          <w:tcPr>
            <w:tcW w:w="0" w:type="auto"/>
            <w:tcBorders>
              <w:top w:val="single" w:sz="4" w:space="0" w:color="auto"/>
            </w:tcBorders>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 56 (of 70)</w:t>
            </w:r>
          </w:p>
        </w:tc>
        <w:tc>
          <w:tcPr>
            <w:tcW w:w="0" w:type="auto"/>
            <w:tcBorders>
              <w:top w:val="single" w:sz="4" w:space="0" w:color="auto"/>
            </w:tcBorders>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21</w:t>
            </w:r>
          </w:p>
        </w:tc>
        <w:tc>
          <w:tcPr>
            <w:tcW w:w="0" w:type="auto"/>
            <w:tcBorders>
              <w:top w:val="single" w:sz="4" w:space="0" w:color="auto"/>
            </w:tcBorders>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20.0%</w:t>
            </w:r>
          </w:p>
        </w:tc>
      </w:tr>
      <w:tr w:rsidR="00460557" w:rsidTr="00F37199">
        <w:trPr>
          <w:jc w:val="center"/>
        </w:trPr>
        <w:tc>
          <w:tcPr>
            <w:tcW w:w="0" w:type="auto"/>
            <w:tcMar>
              <w:top w:w="150" w:type="dxa"/>
              <w:left w:w="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Medium (60-80%)</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42-55 (of 70)</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34</w:t>
            </w:r>
          </w:p>
        </w:tc>
        <w:tc>
          <w:tcPr>
            <w:tcW w:w="0" w:type="auto"/>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32.4%</w:t>
            </w:r>
          </w:p>
        </w:tc>
      </w:tr>
      <w:tr w:rsidR="00460557" w:rsidTr="00F37199">
        <w:trPr>
          <w:jc w:val="center"/>
        </w:trPr>
        <w:tc>
          <w:tcPr>
            <w:tcW w:w="0" w:type="auto"/>
            <w:tcMar>
              <w:top w:w="150" w:type="dxa"/>
              <w:left w:w="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Low (&lt; 60%)</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&lt; 42 (of 70)</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50</w:t>
            </w:r>
          </w:p>
        </w:tc>
        <w:tc>
          <w:tcPr>
            <w:tcW w:w="0" w:type="auto"/>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47.6%</w:t>
            </w:r>
          </w:p>
        </w:tc>
      </w:tr>
      <w:tr w:rsidR="00460557" w:rsidTr="00F37199">
        <w:trPr>
          <w:jc w:val="center"/>
        </w:trPr>
        <w:tc>
          <w:tcPr>
            <w:tcW w:w="0" w:type="auto"/>
            <w:tcMar>
              <w:top w:w="150" w:type="dxa"/>
              <w:left w:w="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Total</w:t>
            </w:r>
          </w:p>
        </w:tc>
        <w:tc>
          <w:tcPr>
            <w:tcW w:w="0" w:type="auto"/>
            <w:tcMar>
              <w:top w:w="150" w:type="dxa"/>
              <w:left w:w="240" w:type="dxa"/>
              <w:bottom w:w="150" w:type="dxa"/>
              <w:right w:w="240" w:type="dxa"/>
            </w:tcMar>
            <w:vAlign w:val="center"/>
            <w:hideMark/>
          </w:tcPr>
          <w:p w:rsidR="00F37199" w:rsidRPr="00F37199" w:rsidRDefault="00F37199" w:rsidP="00846953">
            <w:pPr>
              <w:jc w:val="both"/>
              <w:rPr>
                <w:rFonts w:ascii="Cambria" w:eastAsia="Cambria" w:hAnsi="Cambria" w:cs="Cambria"/>
                <w:bCs/>
                <w:color w:val="000000"/>
                <w:lang w:val="id-ID"/>
              </w:rPr>
            </w:pP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105</w:t>
            </w:r>
          </w:p>
        </w:tc>
        <w:tc>
          <w:tcPr>
            <w:tcW w:w="0" w:type="auto"/>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100%</w:t>
            </w:r>
          </w:p>
        </w:tc>
      </w:tr>
    </w:tbl>
    <w:p w:rsidR="00F37199" w:rsidRPr="006C623C" w:rsidRDefault="00CB6AA0" w:rsidP="00CB6AA0">
      <w:pPr>
        <w:spacing w:before="120" w:after="60"/>
        <w:jc w:val="both"/>
        <w:rPr>
          <w:rFonts w:ascii="Cambria" w:eastAsia="Cambria" w:hAnsi="Cambria" w:cs="Cambria"/>
          <w:b/>
          <w:bCs/>
          <w:color w:val="000000"/>
          <w:sz w:val="24"/>
          <w:szCs w:val="24"/>
          <w:lang w:val="id-ID"/>
        </w:rPr>
      </w:pPr>
      <w:r w:rsidRPr="006C623C">
        <w:rPr>
          <w:rFonts w:ascii="Cambria" w:eastAsia="Cambria" w:hAnsi="Cambria" w:cs="Cambria"/>
          <w:b/>
          <w:bCs/>
          <w:color w:val="000000"/>
          <w:sz w:val="24"/>
          <w:szCs w:val="24"/>
          <w:lang w:val="id-ID"/>
        </w:rPr>
        <w:t>Variable Descriptive Statistics</w:t>
      </w:r>
    </w:p>
    <w:p w:rsidR="00F37199" w:rsidRPr="006C623C" w:rsidRDefault="00CB6AA0" w:rsidP="00CB6AA0">
      <w:pPr>
        <w:spacing w:before="60"/>
        <w:jc w:val="center"/>
        <w:rPr>
          <w:rFonts w:ascii="Cambria" w:eastAsia="Cambria" w:hAnsi="Cambria" w:cs="Cambria"/>
          <w:b/>
          <w:color w:val="000000"/>
          <w:sz w:val="24"/>
          <w:szCs w:val="24"/>
          <w:lang w:val="id-ID"/>
        </w:rPr>
      </w:pPr>
      <w:r w:rsidRPr="006C623C">
        <w:rPr>
          <w:rFonts w:ascii="Cambria" w:eastAsia="Cambria" w:hAnsi="Cambria" w:cs="Cambria"/>
          <w:b/>
          <w:bCs/>
          <w:color w:val="000000"/>
          <w:sz w:val="24"/>
          <w:szCs w:val="24"/>
          <w:lang w:val="id-ID"/>
        </w:rPr>
        <w:t xml:space="preserve">Table </w:t>
      </w:r>
      <w:r>
        <w:rPr>
          <w:rFonts w:ascii="Cambria" w:eastAsia="Cambria" w:hAnsi="Cambria" w:cs="Cambria"/>
          <w:b/>
          <w:bCs/>
          <w:color w:val="000000"/>
          <w:sz w:val="24"/>
          <w:szCs w:val="24"/>
          <w:lang w:val="id-ID"/>
        </w:rPr>
        <w:t>12</w:t>
      </w:r>
      <w:r w:rsidR="000A6DB5">
        <w:rPr>
          <w:rFonts w:ascii="Cambria" w:eastAsia="Cambria" w:hAnsi="Cambria" w:cs="Cambria"/>
          <w:b/>
          <w:bCs/>
          <w:color w:val="000000"/>
          <w:sz w:val="24"/>
          <w:szCs w:val="24"/>
          <w:lang w:val="id-ID"/>
        </w:rPr>
        <w:t>.</w:t>
      </w:r>
      <w:r w:rsidRPr="006C623C">
        <w:rPr>
          <w:rFonts w:ascii="Cambria" w:eastAsia="Cambria" w:hAnsi="Cambria" w:cs="Cambria"/>
          <w:b/>
          <w:color w:val="000000"/>
          <w:sz w:val="24"/>
          <w:szCs w:val="24"/>
          <w:lang w:val="id-ID"/>
        </w:rPr>
        <w:t> </w:t>
      </w:r>
      <w:r w:rsidRPr="00615072">
        <w:rPr>
          <w:rFonts w:ascii="Cambria" w:eastAsia="Cambria" w:hAnsi="Cambria" w:cs="Cambria"/>
          <w:bCs/>
          <w:color w:val="000000"/>
          <w:sz w:val="24"/>
          <w:szCs w:val="24"/>
          <w:lang w:val="id-ID"/>
        </w:rPr>
        <w:t>Descriptive Statistics of Research Variables</w:t>
      </w:r>
    </w:p>
    <w:tbl>
      <w:tblPr>
        <w:tblW w:w="0" w:type="auto"/>
        <w:tblBorders>
          <w:top w:val="single" w:sz="4" w:space="0" w:color="auto"/>
          <w:bottom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1843"/>
        <w:gridCol w:w="616"/>
        <w:gridCol w:w="833"/>
        <w:gridCol w:w="862"/>
        <w:gridCol w:w="702"/>
        <w:gridCol w:w="964"/>
        <w:gridCol w:w="1219"/>
        <w:gridCol w:w="1970"/>
      </w:tblGrid>
      <w:tr w:rsidR="00460557" w:rsidTr="00910CCA">
        <w:trPr>
          <w:tblHeader/>
        </w:trPr>
        <w:tc>
          <w:tcPr>
            <w:tcW w:w="1843" w:type="dxa"/>
            <w:tcMar>
              <w:top w:w="150" w:type="dxa"/>
              <w:left w:w="0" w:type="dxa"/>
              <w:bottom w:w="150" w:type="dxa"/>
              <w:right w:w="240" w:type="dxa"/>
            </w:tcMar>
            <w:vAlign w:val="center"/>
            <w:hideMark/>
          </w:tcPr>
          <w:p w:rsidR="00F37199" w:rsidRPr="00F37199" w:rsidRDefault="00CB6AA0" w:rsidP="00910CCA">
            <w:pPr>
              <w:jc w:val="center"/>
              <w:rPr>
                <w:rFonts w:ascii="Cambria" w:eastAsia="Cambria" w:hAnsi="Cambria" w:cs="Cambria"/>
                <w:b/>
                <w:color w:val="000000"/>
                <w:lang w:val="id-ID"/>
              </w:rPr>
            </w:pPr>
            <w:r w:rsidRPr="00F37199">
              <w:rPr>
                <w:rFonts w:ascii="Cambria" w:eastAsia="Cambria" w:hAnsi="Cambria" w:cs="Cambria"/>
                <w:b/>
                <w:color w:val="000000"/>
                <w:lang w:val="id-ID"/>
              </w:rPr>
              <w:t>Variable</w:t>
            </w:r>
          </w:p>
        </w:tc>
        <w:tc>
          <w:tcPr>
            <w:tcW w:w="0" w:type="auto"/>
            <w:tcMar>
              <w:top w:w="150" w:type="dxa"/>
              <w:left w:w="240" w:type="dxa"/>
              <w:bottom w:w="150" w:type="dxa"/>
              <w:right w:w="240" w:type="dxa"/>
            </w:tcMar>
            <w:vAlign w:val="center"/>
            <w:hideMark/>
          </w:tcPr>
          <w:p w:rsidR="00F37199" w:rsidRPr="00F37199" w:rsidRDefault="00CB6AA0" w:rsidP="00910CCA">
            <w:pPr>
              <w:jc w:val="center"/>
              <w:rPr>
                <w:rFonts w:ascii="Cambria" w:eastAsia="Cambria" w:hAnsi="Cambria" w:cs="Cambria"/>
                <w:b/>
                <w:color w:val="000000"/>
                <w:lang w:val="id-ID"/>
              </w:rPr>
            </w:pPr>
            <w:r w:rsidRPr="00F37199">
              <w:rPr>
                <w:rFonts w:ascii="Cambria" w:eastAsia="Cambria" w:hAnsi="Cambria" w:cs="Cambria"/>
                <w:b/>
                <w:color w:val="000000"/>
                <w:lang w:val="id-ID"/>
              </w:rPr>
              <w:t>N</w:t>
            </w:r>
          </w:p>
        </w:tc>
        <w:tc>
          <w:tcPr>
            <w:tcW w:w="0" w:type="auto"/>
            <w:tcMar>
              <w:top w:w="150" w:type="dxa"/>
              <w:left w:w="240" w:type="dxa"/>
              <w:bottom w:w="150" w:type="dxa"/>
              <w:right w:w="240" w:type="dxa"/>
            </w:tcMar>
            <w:vAlign w:val="center"/>
            <w:hideMark/>
          </w:tcPr>
          <w:p w:rsidR="00F37199" w:rsidRPr="00F37199" w:rsidRDefault="00CB6AA0" w:rsidP="00910CCA">
            <w:pPr>
              <w:jc w:val="center"/>
              <w:rPr>
                <w:rFonts w:ascii="Cambria" w:eastAsia="Cambria" w:hAnsi="Cambria" w:cs="Cambria"/>
                <w:b/>
                <w:color w:val="000000"/>
                <w:lang w:val="id-ID"/>
              </w:rPr>
            </w:pPr>
            <w:r w:rsidRPr="00F37199">
              <w:rPr>
                <w:rFonts w:ascii="Cambria" w:eastAsia="Cambria" w:hAnsi="Cambria" w:cs="Cambria"/>
                <w:b/>
                <w:color w:val="000000"/>
                <w:lang w:val="id-ID"/>
              </w:rPr>
              <w:t>Min</w:t>
            </w:r>
          </w:p>
        </w:tc>
        <w:tc>
          <w:tcPr>
            <w:tcW w:w="0" w:type="auto"/>
            <w:tcMar>
              <w:top w:w="150" w:type="dxa"/>
              <w:left w:w="240" w:type="dxa"/>
              <w:bottom w:w="150" w:type="dxa"/>
              <w:right w:w="240" w:type="dxa"/>
            </w:tcMar>
            <w:vAlign w:val="center"/>
            <w:hideMark/>
          </w:tcPr>
          <w:p w:rsidR="00F37199" w:rsidRPr="00F37199" w:rsidRDefault="00CB6AA0" w:rsidP="00910CCA">
            <w:pPr>
              <w:jc w:val="center"/>
              <w:rPr>
                <w:rFonts w:ascii="Cambria" w:eastAsia="Cambria" w:hAnsi="Cambria" w:cs="Cambria"/>
                <w:b/>
                <w:color w:val="000000"/>
                <w:lang w:val="id-ID"/>
              </w:rPr>
            </w:pPr>
            <w:r w:rsidRPr="00F37199">
              <w:rPr>
                <w:rFonts w:ascii="Cambria" w:eastAsia="Cambria" w:hAnsi="Cambria" w:cs="Cambria"/>
                <w:b/>
                <w:color w:val="000000"/>
                <w:lang w:val="id-ID"/>
              </w:rPr>
              <w:t>Max</w:t>
            </w:r>
          </w:p>
        </w:tc>
        <w:tc>
          <w:tcPr>
            <w:tcW w:w="0" w:type="auto"/>
            <w:gridSpan w:val="2"/>
            <w:tcMar>
              <w:top w:w="150" w:type="dxa"/>
              <w:left w:w="240" w:type="dxa"/>
              <w:bottom w:w="150" w:type="dxa"/>
              <w:right w:w="240" w:type="dxa"/>
            </w:tcMar>
            <w:vAlign w:val="center"/>
            <w:hideMark/>
          </w:tcPr>
          <w:p w:rsidR="00F37199" w:rsidRPr="00F37199" w:rsidRDefault="00CB6AA0" w:rsidP="00910CCA">
            <w:pPr>
              <w:jc w:val="center"/>
              <w:rPr>
                <w:rFonts w:ascii="Cambria" w:eastAsia="Cambria" w:hAnsi="Cambria" w:cs="Cambria"/>
                <w:b/>
                <w:color w:val="000000"/>
                <w:lang w:val="id-ID"/>
              </w:rPr>
            </w:pPr>
            <w:r w:rsidRPr="00F37199">
              <w:rPr>
                <w:rFonts w:ascii="Cambria" w:eastAsia="Cambria" w:hAnsi="Cambria" w:cs="Cambria"/>
                <w:b/>
                <w:color w:val="000000"/>
                <w:lang w:val="id-ID"/>
              </w:rPr>
              <w:t>Mean</w:t>
            </w:r>
          </w:p>
        </w:tc>
        <w:tc>
          <w:tcPr>
            <w:tcW w:w="0" w:type="auto"/>
            <w:tcMar>
              <w:top w:w="150" w:type="dxa"/>
              <w:left w:w="240" w:type="dxa"/>
              <w:bottom w:w="150" w:type="dxa"/>
              <w:right w:w="240" w:type="dxa"/>
            </w:tcMar>
            <w:vAlign w:val="center"/>
            <w:hideMark/>
          </w:tcPr>
          <w:p w:rsidR="00F37199" w:rsidRPr="00F37199" w:rsidRDefault="00CB6AA0" w:rsidP="00910CCA">
            <w:pPr>
              <w:jc w:val="center"/>
              <w:rPr>
                <w:rFonts w:ascii="Cambria" w:eastAsia="Cambria" w:hAnsi="Cambria" w:cs="Cambria"/>
                <w:b/>
                <w:color w:val="000000"/>
                <w:lang w:val="id-ID"/>
              </w:rPr>
            </w:pPr>
            <w:r w:rsidRPr="00F37199">
              <w:rPr>
                <w:rFonts w:ascii="Cambria" w:eastAsia="Cambria" w:hAnsi="Cambria" w:cs="Cambria"/>
                <w:b/>
                <w:color w:val="000000"/>
                <w:lang w:val="id-ID"/>
              </w:rPr>
              <w:t>Std. Dev</w:t>
            </w:r>
          </w:p>
        </w:tc>
        <w:tc>
          <w:tcPr>
            <w:tcW w:w="0" w:type="auto"/>
            <w:tcMar>
              <w:top w:w="150" w:type="dxa"/>
              <w:left w:w="240" w:type="dxa"/>
              <w:bottom w:w="150" w:type="dxa"/>
              <w:right w:w="240" w:type="dxa"/>
            </w:tcMar>
            <w:vAlign w:val="center"/>
            <w:hideMark/>
          </w:tcPr>
          <w:p w:rsidR="00F37199" w:rsidRPr="00F37199" w:rsidRDefault="00CB6AA0" w:rsidP="00910CCA">
            <w:pPr>
              <w:jc w:val="center"/>
              <w:rPr>
                <w:rFonts w:ascii="Cambria" w:eastAsia="Cambria" w:hAnsi="Cambria" w:cs="Cambria"/>
                <w:b/>
                <w:color w:val="000000"/>
                <w:lang w:val="id-ID"/>
              </w:rPr>
            </w:pPr>
            <w:r w:rsidRPr="00F37199">
              <w:rPr>
                <w:rFonts w:ascii="Cambria" w:eastAsia="Cambria" w:hAnsi="Cambria" w:cs="Cambria"/>
                <w:b/>
                <w:color w:val="000000"/>
                <w:lang w:val="id-ID"/>
              </w:rPr>
              <w:t>Theoretical Max</w:t>
            </w:r>
          </w:p>
        </w:tc>
      </w:tr>
      <w:tr w:rsidR="00460557" w:rsidTr="00910CCA">
        <w:tc>
          <w:tcPr>
            <w:tcW w:w="1985" w:type="dxa"/>
            <w:gridSpan w:val="2"/>
            <w:tcMar>
              <w:top w:w="150" w:type="dxa"/>
              <w:left w:w="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Financial Literacy (X)</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105</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28</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65</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48.23</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8.47</w:t>
            </w:r>
          </w:p>
        </w:tc>
        <w:tc>
          <w:tcPr>
            <w:tcW w:w="0" w:type="auto"/>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70</w:t>
            </w:r>
          </w:p>
        </w:tc>
      </w:tr>
      <w:tr w:rsidR="00460557" w:rsidTr="00910CCA">
        <w:tc>
          <w:tcPr>
            <w:tcW w:w="1985" w:type="dxa"/>
            <w:gridSpan w:val="2"/>
            <w:tcMar>
              <w:top w:w="150" w:type="dxa"/>
              <w:left w:w="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lastRenderedPageBreak/>
              <w:t>MSME Performance (Y)</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105</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35</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78</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52.17</w:t>
            </w:r>
          </w:p>
        </w:tc>
        <w:tc>
          <w:tcPr>
            <w:tcW w:w="0" w:type="auto"/>
            <w:tcMar>
              <w:top w:w="150" w:type="dxa"/>
              <w:left w:w="240" w:type="dxa"/>
              <w:bottom w:w="150" w:type="dxa"/>
              <w:right w:w="24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9.23</w:t>
            </w:r>
          </w:p>
        </w:tc>
        <w:tc>
          <w:tcPr>
            <w:tcW w:w="0" w:type="auto"/>
            <w:tcMar>
              <w:top w:w="150" w:type="dxa"/>
              <w:left w:w="240" w:type="dxa"/>
              <w:bottom w:w="150" w:type="dxa"/>
              <w:right w:w="0" w:type="dxa"/>
            </w:tcMar>
            <w:vAlign w:val="center"/>
            <w:hideMark/>
          </w:tcPr>
          <w:p w:rsidR="00F37199" w:rsidRPr="00F37199" w:rsidRDefault="00CB6AA0" w:rsidP="00846953">
            <w:pPr>
              <w:jc w:val="both"/>
              <w:rPr>
                <w:rFonts w:ascii="Cambria" w:eastAsia="Cambria" w:hAnsi="Cambria" w:cs="Cambria"/>
                <w:bCs/>
                <w:color w:val="000000"/>
                <w:lang w:val="id-ID"/>
              </w:rPr>
            </w:pPr>
            <w:r w:rsidRPr="00F37199">
              <w:rPr>
                <w:rFonts w:ascii="Cambria" w:eastAsia="Cambria" w:hAnsi="Cambria" w:cs="Cambria"/>
                <w:bCs/>
                <w:color w:val="000000"/>
                <w:lang w:val="id-ID"/>
              </w:rPr>
              <w:t>80</w:t>
            </w:r>
          </w:p>
        </w:tc>
      </w:tr>
    </w:tbl>
    <w:p w:rsidR="00F37199" w:rsidRPr="006C623C" w:rsidRDefault="00CB6AA0" w:rsidP="00910CCA">
      <w:pPr>
        <w:spacing w:before="120" w:after="60"/>
        <w:jc w:val="both"/>
        <w:rPr>
          <w:rFonts w:ascii="Cambria" w:eastAsia="Cambria" w:hAnsi="Cambria" w:cs="Cambria"/>
          <w:b/>
          <w:bCs/>
          <w:color w:val="000000"/>
          <w:sz w:val="24"/>
          <w:szCs w:val="24"/>
          <w:lang w:val="id-ID"/>
        </w:rPr>
      </w:pPr>
      <w:r w:rsidRPr="006C623C">
        <w:rPr>
          <w:rFonts w:ascii="Cambria" w:eastAsia="Cambria" w:hAnsi="Cambria" w:cs="Cambria"/>
          <w:b/>
          <w:bCs/>
          <w:color w:val="000000"/>
          <w:sz w:val="24"/>
          <w:szCs w:val="24"/>
          <w:lang w:val="id-ID"/>
        </w:rPr>
        <w:t>Measurement Model Evaluation (Outer Model)</w:t>
      </w:r>
    </w:p>
    <w:p w:rsidR="00F37199" w:rsidRDefault="00CB6AA0" w:rsidP="00CB6AA0">
      <w:pPr>
        <w:spacing w:before="60" w:after="60"/>
        <w:jc w:val="both"/>
        <w:rPr>
          <w:rFonts w:ascii="Cambria" w:eastAsia="Cambria" w:hAnsi="Cambria" w:cs="Cambria"/>
          <w:b/>
          <w:bCs/>
          <w:color w:val="000000"/>
          <w:sz w:val="24"/>
          <w:szCs w:val="24"/>
          <w:lang w:val="id-ID"/>
        </w:rPr>
      </w:pPr>
      <w:r w:rsidRPr="006C623C">
        <w:rPr>
          <w:rFonts w:ascii="Cambria" w:eastAsia="Cambria" w:hAnsi="Cambria" w:cs="Cambria"/>
          <w:b/>
          <w:bCs/>
          <w:color w:val="000000"/>
          <w:sz w:val="24"/>
          <w:szCs w:val="24"/>
          <w:lang w:val="id-ID"/>
        </w:rPr>
        <w:t>Convergent Validity</w:t>
      </w:r>
    </w:p>
    <w:p w:rsidR="00F37199" w:rsidRPr="006C623C" w:rsidRDefault="00CB6AA0" w:rsidP="00910CCA">
      <w:pPr>
        <w:spacing w:before="60" w:after="60"/>
        <w:jc w:val="center"/>
        <w:rPr>
          <w:rFonts w:ascii="Cambria" w:eastAsia="Cambria" w:hAnsi="Cambria" w:cs="Cambria"/>
          <w:b/>
          <w:color w:val="000000"/>
          <w:sz w:val="24"/>
          <w:szCs w:val="24"/>
          <w:lang w:val="id-ID"/>
        </w:rPr>
      </w:pPr>
      <w:r w:rsidRPr="006C623C">
        <w:rPr>
          <w:rFonts w:ascii="Cambria" w:eastAsia="Cambria" w:hAnsi="Cambria" w:cs="Cambria"/>
          <w:b/>
          <w:bCs/>
          <w:color w:val="000000"/>
          <w:sz w:val="24"/>
          <w:szCs w:val="24"/>
          <w:lang w:val="id-ID"/>
        </w:rPr>
        <w:t xml:space="preserve">Table </w:t>
      </w:r>
      <w:r>
        <w:rPr>
          <w:rFonts w:ascii="Cambria" w:eastAsia="Cambria" w:hAnsi="Cambria" w:cs="Cambria"/>
          <w:b/>
          <w:bCs/>
          <w:color w:val="000000"/>
          <w:sz w:val="24"/>
          <w:szCs w:val="24"/>
          <w:lang w:val="id-ID"/>
        </w:rPr>
        <w:t>13</w:t>
      </w:r>
      <w:r w:rsidR="000A6DB5">
        <w:rPr>
          <w:rFonts w:ascii="Cambria" w:eastAsia="Cambria" w:hAnsi="Cambria" w:cs="Cambria"/>
          <w:b/>
          <w:bCs/>
          <w:color w:val="000000"/>
          <w:sz w:val="24"/>
          <w:szCs w:val="24"/>
          <w:lang w:val="id-ID"/>
        </w:rPr>
        <w:t>.</w:t>
      </w:r>
      <w:r>
        <w:rPr>
          <w:rFonts w:ascii="Cambria" w:eastAsia="Cambria" w:hAnsi="Cambria" w:cs="Cambria"/>
          <w:b/>
          <w:bCs/>
          <w:color w:val="000000"/>
          <w:sz w:val="24"/>
          <w:szCs w:val="24"/>
          <w:lang w:val="id-ID"/>
        </w:rPr>
        <w:t xml:space="preserve"> </w:t>
      </w:r>
      <w:r w:rsidRPr="00615072">
        <w:rPr>
          <w:rFonts w:ascii="Cambria" w:eastAsia="Cambria" w:hAnsi="Cambria" w:cs="Cambria"/>
          <w:bCs/>
          <w:color w:val="000000"/>
          <w:sz w:val="24"/>
          <w:szCs w:val="24"/>
          <w:lang w:val="id-ID"/>
        </w:rPr>
        <w:t>Outer Loadings, AVE, CR, and Cronbach's Alpha</w:t>
      </w:r>
    </w:p>
    <w:tbl>
      <w:tblPr>
        <w:tblW w:w="0" w:type="auto"/>
        <w:tblBorders>
          <w:top w:val="single" w:sz="4" w:space="0" w:color="auto"/>
          <w:bottom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102"/>
        <w:gridCol w:w="1378"/>
        <w:gridCol w:w="1240"/>
        <w:gridCol w:w="1377"/>
        <w:gridCol w:w="1244"/>
        <w:gridCol w:w="960"/>
        <w:gridCol w:w="964"/>
        <w:gridCol w:w="664"/>
      </w:tblGrid>
      <w:tr w:rsidR="00460557" w:rsidTr="000A6DB5">
        <w:trPr>
          <w:trHeight w:val="219"/>
          <w:tblHeader/>
        </w:trPr>
        <w:tc>
          <w:tcPr>
            <w:tcW w:w="1102" w:type="dxa"/>
            <w:tcBorders>
              <w:top w:val="single" w:sz="4" w:space="0" w:color="auto"/>
              <w:bottom w:val="single" w:sz="4" w:space="0" w:color="auto"/>
            </w:tcBorders>
            <w:tcMar>
              <w:top w:w="150" w:type="dxa"/>
              <w:left w:w="0" w:type="dxa"/>
              <w:bottom w:w="150" w:type="dxa"/>
              <w:right w:w="240" w:type="dxa"/>
            </w:tcMar>
            <w:vAlign w:val="center"/>
            <w:hideMark/>
          </w:tcPr>
          <w:p w:rsidR="00F37199" w:rsidRPr="000A6DB5" w:rsidRDefault="00CB6AA0" w:rsidP="00846953">
            <w:pPr>
              <w:jc w:val="both"/>
              <w:rPr>
                <w:rFonts w:ascii="Cambria" w:eastAsia="Cambria" w:hAnsi="Cambria" w:cs="Cambria"/>
                <w:b/>
                <w:color w:val="000000"/>
                <w:sz w:val="18"/>
                <w:szCs w:val="18"/>
                <w:lang w:val="id-ID"/>
              </w:rPr>
            </w:pPr>
            <w:r w:rsidRPr="000A6DB5">
              <w:rPr>
                <w:rFonts w:ascii="Cambria" w:eastAsia="Cambria" w:hAnsi="Cambria" w:cs="Cambria"/>
                <w:b/>
                <w:color w:val="000000"/>
                <w:sz w:val="18"/>
                <w:szCs w:val="18"/>
                <w:lang w:val="id-ID"/>
              </w:rPr>
              <w:t>Construct</w:t>
            </w:r>
          </w:p>
        </w:tc>
        <w:tc>
          <w:tcPr>
            <w:tcW w:w="1378" w:type="dxa"/>
            <w:tcBorders>
              <w:top w:val="single" w:sz="4" w:space="0" w:color="auto"/>
              <w:bottom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
                <w:color w:val="000000"/>
                <w:sz w:val="18"/>
                <w:szCs w:val="18"/>
                <w:lang w:val="id-ID"/>
              </w:rPr>
            </w:pPr>
            <w:r w:rsidRPr="000A6DB5">
              <w:rPr>
                <w:rFonts w:ascii="Cambria" w:eastAsia="Cambria" w:hAnsi="Cambria" w:cs="Cambria"/>
                <w:b/>
                <w:color w:val="000000"/>
                <w:sz w:val="18"/>
                <w:szCs w:val="18"/>
                <w:lang w:val="id-ID"/>
              </w:rPr>
              <w:t>Indicator</w:t>
            </w:r>
          </w:p>
        </w:tc>
        <w:tc>
          <w:tcPr>
            <w:tcW w:w="1240" w:type="dxa"/>
            <w:tcBorders>
              <w:top w:val="single" w:sz="4" w:space="0" w:color="auto"/>
              <w:bottom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
                <w:color w:val="000000"/>
                <w:sz w:val="18"/>
                <w:szCs w:val="18"/>
                <w:lang w:val="id-ID"/>
              </w:rPr>
            </w:pPr>
            <w:r w:rsidRPr="000A6DB5">
              <w:rPr>
                <w:rFonts w:ascii="Cambria" w:eastAsia="Cambria" w:hAnsi="Cambria" w:cs="Cambria"/>
                <w:b/>
                <w:color w:val="000000"/>
                <w:sz w:val="18"/>
                <w:szCs w:val="18"/>
                <w:lang w:val="id-ID"/>
              </w:rPr>
              <w:t>Loading</w:t>
            </w:r>
          </w:p>
        </w:tc>
        <w:tc>
          <w:tcPr>
            <w:tcW w:w="1377" w:type="dxa"/>
            <w:tcBorders>
              <w:top w:val="single" w:sz="4" w:space="0" w:color="auto"/>
              <w:bottom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
                <w:color w:val="000000"/>
                <w:sz w:val="18"/>
                <w:szCs w:val="18"/>
                <w:lang w:val="id-ID"/>
              </w:rPr>
            </w:pPr>
            <w:r w:rsidRPr="000A6DB5">
              <w:rPr>
                <w:rFonts w:ascii="Cambria" w:eastAsia="Cambria" w:hAnsi="Cambria" w:cs="Cambria"/>
                <w:b/>
                <w:color w:val="000000"/>
                <w:sz w:val="18"/>
                <w:szCs w:val="18"/>
                <w:lang w:val="id-ID"/>
              </w:rPr>
              <w:t>Loading²</w:t>
            </w:r>
          </w:p>
        </w:tc>
        <w:tc>
          <w:tcPr>
            <w:tcW w:w="1244" w:type="dxa"/>
            <w:tcBorders>
              <w:top w:val="single" w:sz="4" w:space="0" w:color="auto"/>
              <w:bottom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
                <w:color w:val="000000"/>
                <w:sz w:val="18"/>
                <w:szCs w:val="18"/>
                <w:lang w:val="id-ID"/>
              </w:rPr>
            </w:pPr>
            <w:r w:rsidRPr="000A6DB5">
              <w:rPr>
                <w:rFonts w:ascii="Cambria" w:eastAsia="Cambria" w:hAnsi="Cambria" w:cs="Cambria"/>
                <w:b/>
                <w:color w:val="000000"/>
                <w:sz w:val="18"/>
                <w:szCs w:val="18"/>
                <w:lang w:val="id-ID"/>
              </w:rPr>
              <w:t>Status</w:t>
            </w:r>
          </w:p>
        </w:tc>
        <w:tc>
          <w:tcPr>
            <w:tcW w:w="960" w:type="dxa"/>
            <w:tcBorders>
              <w:top w:val="single" w:sz="4" w:space="0" w:color="auto"/>
              <w:bottom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
                <w:color w:val="000000"/>
                <w:sz w:val="18"/>
                <w:szCs w:val="18"/>
                <w:lang w:val="id-ID"/>
              </w:rPr>
            </w:pPr>
            <w:r w:rsidRPr="000A6DB5">
              <w:rPr>
                <w:rFonts w:ascii="Cambria" w:eastAsia="Cambria" w:hAnsi="Cambria" w:cs="Cambria"/>
                <w:b/>
                <w:color w:val="000000"/>
                <w:sz w:val="18"/>
                <w:szCs w:val="18"/>
                <w:lang w:val="id-ID"/>
              </w:rPr>
              <w:t>AVE</w:t>
            </w:r>
          </w:p>
        </w:tc>
        <w:tc>
          <w:tcPr>
            <w:tcW w:w="964" w:type="dxa"/>
            <w:tcBorders>
              <w:top w:val="single" w:sz="4" w:space="0" w:color="auto"/>
              <w:bottom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
                <w:color w:val="000000"/>
                <w:sz w:val="18"/>
                <w:szCs w:val="18"/>
                <w:lang w:val="id-ID"/>
              </w:rPr>
            </w:pPr>
            <w:r w:rsidRPr="000A6DB5">
              <w:rPr>
                <w:rFonts w:ascii="Cambria" w:eastAsia="Cambria" w:hAnsi="Cambria" w:cs="Cambria"/>
                <w:b/>
                <w:color w:val="000000"/>
                <w:sz w:val="18"/>
                <w:szCs w:val="18"/>
                <w:lang w:val="id-ID"/>
              </w:rPr>
              <w:t>CR</w:t>
            </w:r>
          </w:p>
        </w:tc>
        <w:tc>
          <w:tcPr>
            <w:tcW w:w="664" w:type="dxa"/>
            <w:tcBorders>
              <w:top w:val="single" w:sz="4" w:space="0" w:color="auto"/>
              <w:bottom w:val="single" w:sz="4" w:space="0" w:color="auto"/>
            </w:tcBorders>
            <w:tcMar>
              <w:top w:w="150" w:type="dxa"/>
              <w:left w:w="240" w:type="dxa"/>
              <w:bottom w:w="150" w:type="dxa"/>
              <w:right w:w="240" w:type="dxa"/>
            </w:tcMar>
            <w:vAlign w:val="center"/>
            <w:hideMark/>
          </w:tcPr>
          <w:p w:rsidR="00F37199" w:rsidRPr="000A6DB5" w:rsidRDefault="00CB6AA0" w:rsidP="00910CCA">
            <w:pPr>
              <w:ind w:left="-98"/>
              <w:jc w:val="both"/>
              <w:rPr>
                <w:rFonts w:ascii="Cambria" w:eastAsia="Cambria" w:hAnsi="Cambria" w:cs="Cambria"/>
                <w:b/>
                <w:color w:val="000000"/>
                <w:sz w:val="18"/>
                <w:szCs w:val="18"/>
                <w:lang w:val="id-ID"/>
              </w:rPr>
            </w:pPr>
            <w:r w:rsidRPr="000A6DB5">
              <w:rPr>
                <w:rFonts w:ascii="Cambria" w:eastAsia="Cambria" w:hAnsi="Cambria" w:cs="Cambria"/>
                <w:b/>
                <w:color w:val="000000"/>
                <w:sz w:val="18"/>
                <w:szCs w:val="18"/>
                <w:lang w:val="id-ID"/>
              </w:rPr>
              <w:t>α</w:t>
            </w:r>
          </w:p>
        </w:tc>
      </w:tr>
      <w:tr w:rsidR="00460557" w:rsidTr="000A6DB5">
        <w:trPr>
          <w:trHeight w:val="455"/>
        </w:trPr>
        <w:tc>
          <w:tcPr>
            <w:tcW w:w="1102" w:type="dxa"/>
            <w:tcBorders>
              <w:top w:val="single" w:sz="4" w:space="0" w:color="auto"/>
            </w:tcBorders>
            <w:tcMar>
              <w:top w:w="150" w:type="dxa"/>
              <w:left w:w="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Financial Literacy (X)</w:t>
            </w:r>
          </w:p>
        </w:tc>
        <w:tc>
          <w:tcPr>
            <w:tcW w:w="1378" w:type="dxa"/>
            <w:tcBorders>
              <w:top w:val="single" w:sz="4" w:space="0" w:color="auto"/>
            </w:tcBorders>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240" w:type="dxa"/>
            <w:tcBorders>
              <w:top w:val="single" w:sz="4" w:space="0" w:color="auto"/>
            </w:tcBorders>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7" w:type="dxa"/>
            <w:tcBorders>
              <w:top w:val="single" w:sz="4" w:space="0" w:color="auto"/>
            </w:tcBorders>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244" w:type="dxa"/>
            <w:tcBorders>
              <w:top w:val="single" w:sz="4" w:space="0" w:color="auto"/>
            </w:tcBorders>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0" w:type="dxa"/>
            <w:tcBorders>
              <w:top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0.525</w:t>
            </w:r>
          </w:p>
        </w:tc>
        <w:tc>
          <w:tcPr>
            <w:tcW w:w="964" w:type="dxa"/>
            <w:tcBorders>
              <w:top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0.935</w:t>
            </w:r>
          </w:p>
        </w:tc>
        <w:tc>
          <w:tcPr>
            <w:tcW w:w="664" w:type="dxa"/>
            <w:tcBorders>
              <w:top w:val="single" w:sz="4" w:space="0" w:color="auto"/>
            </w:tcBorders>
            <w:tcMar>
              <w:top w:w="150" w:type="dxa"/>
              <w:left w:w="240" w:type="dxa"/>
              <w:bottom w:w="150" w:type="dxa"/>
              <w:right w:w="0" w:type="dxa"/>
            </w:tcMar>
            <w:vAlign w:val="center"/>
            <w:hideMark/>
          </w:tcPr>
          <w:p w:rsidR="00F37199" w:rsidRPr="000A6DB5" w:rsidRDefault="00CB6AA0" w:rsidP="00910CCA">
            <w:pPr>
              <w:ind w:left="-98"/>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0.925</w:t>
            </w:r>
          </w:p>
        </w:tc>
      </w:tr>
      <w:tr w:rsidR="00460557" w:rsidTr="000A6DB5">
        <w:trPr>
          <w:trHeight w:val="234"/>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X1_1</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0.711</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0.506</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19"/>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ind w:right="-60"/>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X1_2</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0.770</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0.593</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34"/>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X1_3</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0.714</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0.510</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34"/>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X1_4</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0.693</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0.480</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Marginal</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19"/>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X1_6</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0.673</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0.453</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Marginal</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34"/>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X2_1</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0.788</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0.621</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34"/>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X2_2</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0.719</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0.517</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19"/>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X2_3</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0.755</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0.570</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34"/>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X2_4</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0.713</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0.508</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34"/>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X3_1</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0.772</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0.596</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19"/>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X3_2</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0.746</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0.557</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34"/>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X3_3</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0.694</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0.482</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Marginal</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19"/>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X3_4</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0.659</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0.434</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Marginal</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689"/>
        </w:trPr>
        <w:tc>
          <w:tcPr>
            <w:tcW w:w="1102" w:type="dxa"/>
            <w:tcMar>
              <w:top w:w="150" w:type="dxa"/>
              <w:left w:w="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MSME Performance (Y)</w:t>
            </w:r>
          </w:p>
        </w:tc>
        <w:tc>
          <w:tcPr>
            <w:tcW w:w="1378"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24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7"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24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0.568</w:t>
            </w:r>
          </w:p>
        </w:tc>
        <w:tc>
          <w:tcPr>
            <w:tcW w:w="96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0.952</w:t>
            </w:r>
          </w:p>
        </w:tc>
        <w:tc>
          <w:tcPr>
            <w:tcW w:w="664" w:type="dxa"/>
            <w:tcMar>
              <w:top w:w="150" w:type="dxa"/>
              <w:left w:w="240" w:type="dxa"/>
              <w:bottom w:w="150" w:type="dxa"/>
              <w:right w:w="0" w:type="dxa"/>
            </w:tcMar>
            <w:vAlign w:val="center"/>
            <w:hideMark/>
          </w:tcPr>
          <w:p w:rsidR="00F37199" w:rsidRPr="000A6DB5" w:rsidRDefault="00CB6AA0" w:rsidP="00910CCA">
            <w:pPr>
              <w:ind w:left="-98"/>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0.946</w:t>
            </w:r>
          </w:p>
        </w:tc>
      </w:tr>
      <w:tr w:rsidR="00460557" w:rsidTr="000A6DB5">
        <w:trPr>
          <w:trHeight w:val="234"/>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Y1_1</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0.777</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0.604</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34"/>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Y1_2</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0.765</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0.585</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19"/>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Y1_3</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0.777</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0.604</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34"/>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Y1_4</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0.736</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0.542</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34"/>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Y1_5</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0.700</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0.490</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Borderline</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19"/>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Y1_6</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0.721</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0.520</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34"/>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Y2_1</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0.817</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0.667</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 xml:space="preserve">Valid </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34"/>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Y2_2</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0.715</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0.511</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19"/>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Y2_3</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0.774</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0.599</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34"/>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Y2_4</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0.761</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0.579</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19"/>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Y3_1</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0.788</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0.621</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34"/>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Y3_2</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0.696</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0.484</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Marginal</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34"/>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Y3_3</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0.752</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0.566</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19"/>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Y4_1</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0.785</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0.616</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r w:rsidR="00460557" w:rsidTr="000A6DB5">
        <w:trPr>
          <w:trHeight w:val="234"/>
        </w:trPr>
        <w:tc>
          <w:tcPr>
            <w:tcW w:w="1102" w:type="dxa"/>
            <w:tcMar>
              <w:top w:w="150" w:type="dxa"/>
              <w:left w:w="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1378"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Y4_2</w:t>
            </w:r>
          </w:p>
        </w:tc>
        <w:tc>
          <w:tcPr>
            <w:tcW w:w="1240"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0.730</w:t>
            </w:r>
          </w:p>
        </w:tc>
        <w:tc>
          <w:tcPr>
            <w:tcW w:w="1377"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0.533</w:t>
            </w:r>
          </w:p>
        </w:tc>
        <w:tc>
          <w:tcPr>
            <w:tcW w:w="1244" w:type="dxa"/>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sz w:val="18"/>
                <w:szCs w:val="18"/>
                <w:lang w:val="id-ID"/>
              </w:rPr>
            </w:pPr>
            <w:r w:rsidRPr="000A6DB5">
              <w:rPr>
                <w:rFonts w:ascii="Cambria" w:eastAsia="Cambria" w:hAnsi="Cambria" w:cs="Cambria"/>
                <w:bCs/>
                <w:color w:val="000000"/>
                <w:sz w:val="18"/>
                <w:szCs w:val="18"/>
                <w:lang w:val="id-ID"/>
              </w:rPr>
              <w:t>Valid</w:t>
            </w:r>
          </w:p>
        </w:tc>
        <w:tc>
          <w:tcPr>
            <w:tcW w:w="960"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964" w:type="dxa"/>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sz w:val="18"/>
                <w:szCs w:val="18"/>
                <w:lang w:val="id-ID"/>
              </w:rPr>
            </w:pPr>
          </w:p>
        </w:tc>
        <w:tc>
          <w:tcPr>
            <w:tcW w:w="664" w:type="dxa"/>
            <w:tcMar>
              <w:top w:w="150" w:type="dxa"/>
              <w:left w:w="240" w:type="dxa"/>
              <w:bottom w:w="150" w:type="dxa"/>
              <w:right w:w="0" w:type="dxa"/>
            </w:tcMar>
            <w:vAlign w:val="center"/>
            <w:hideMark/>
          </w:tcPr>
          <w:p w:rsidR="00F37199" w:rsidRPr="000A6DB5" w:rsidRDefault="00F37199" w:rsidP="00910CCA">
            <w:pPr>
              <w:ind w:left="-98"/>
              <w:jc w:val="both"/>
              <w:rPr>
                <w:rFonts w:ascii="Cambria" w:eastAsia="Cambria" w:hAnsi="Cambria" w:cs="Cambria"/>
                <w:bCs/>
                <w:color w:val="000000"/>
                <w:sz w:val="18"/>
                <w:szCs w:val="18"/>
                <w:lang w:val="id-ID"/>
              </w:rPr>
            </w:pPr>
          </w:p>
        </w:tc>
      </w:tr>
    </w:tbl>
    <w:p w:rsidR="00F37199" w:rsidRPr="006C623C" w:rsidRDefault="00CB6AA0" w:rsidP="00CB6AA0">
      <w:pPr>
        <w:spacing w:before="120" w:after="60"/>
        <w:jc w:val="both"/>
        <w:rPr>
          <w:rFonts w:ascii="Cambria" w:eastAsia="Cambria" w:hAnsi="Cambria" w:cs="Cambria"/>
          <w:b/>
          <w:bCs/>
          <w:color w:val="000000"/>
          <w:sz w:val="24"/>
          <w:szCs w:val="24"/>
          <w:lang w:val="id-ID"/>
        </w:rPr>
      </w:pPr>
      <w:r w:rsidRPr="006C623C">
        <w:rPr>
          <w:rFonts w:ascii="Cambria" w:eastAsia="Cambria" w:hAnsi="Cambria" w:cs="Cambria"/>
          <w:b/>
          <w:bCs/>
          <w:color w:val="000000"/>
          <w:sz w:val="24"/>
          <w:szCs w:val="24"/>
          <w:lang w:val="id-ID"/>
        </w:rPr>
        <w:t>Discriminant Validity</w:t>
      </w:r>
    </w:p>
    <w:p w:rsidR="00F37199" w:rsidRPr="00615072" w:rsidRDefault="00CB6AA0" w:rsidP="00CB6AA0">
      <w:pPr>
        <w:spacing w:before="60" w:after="60"/>
        <w:jc w:val="center"/>
        <w:rPr>
          <w:rFonts w:ascii="Cambria" w:eastAsia="Cambria" w:hAnsi="Cambria" w:cs="Cambria"/>
          <w:color w:val="000000"/>
          <w:sz w:val="24"/>
          <w:szCs w:val="24"/>
          <w:lang w:val="id-ID"/>
        </w:rPr>
      </w:pPr>
      <w:r w:rsidRPr="000A6DB5">
        <w:rPr>
          <w:rFonts w:ascii="Cambria" w:eastAsia="Cambria" w:hAnsi="Cambria" w:cs="Cambria"/>
          <w:b/>
          <w:bCs/>
          <w:color w:val="000000"/>
          <w:sz w:val="24"/>
          <w:szCs w:val="24"/>
          <w:lang w:val="id-ID"/>
        </w:rPr>
        <w:t>Table 14</w:t>
      </w:r>
      <w:r w:rsidR="000A6DB5">
        <w:rPr>
          <w:rFonts w:ascii="Cambria" w:eastAsia="Cambria" w:hAnsi="Cambria" w:cs="Cambria"/>
          <w:b/>
          <w:bCs/>
          <w:color w:val="000000"/>
          <w:sz w:val="24"/>
          <w:szCs w:val="24"/>
          <w:lang w:val="id-ID"/>
        </w:rPr>
        <w:t>.</w:t>
      </w:r>
      <w:r w:rsidRPr="00615072">
        <w:rPr>
          <w:rFonts w:ascii="Cambria" w:eastAsia="Cambria" w:hAnsi="Cambria" w:cs="Cambria"/>
          <w:color w:val="000000"/>
          <w:sz w:val="24"/>
          <w:szCs w:val="24"/>
          <w:lang w:val="id-ID"/>
        </w:rPr>
        <w:t> Heterotrait-Monotrait Ratio (HTMT)</w:t>
      </w:r>
    </w:p>
    <w:tbl>
      <w:tblPr>
        <w:tblW w:w="0" w:type="auto"/>
        <w:jc w:val="center"/>
        <w:tblBorders>
          <w:top w:val="single" w:sz="4" w:space="0" w:color="auto"/>
          <w:bottom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1562"/>
        <w:gridCol w:w="1050"/>
        <w:gridCol w:w="2761"/>
        <w:gridCol w:w="1099"/>
        <w:gridCol w:w="1231"/>
      </w:tblGrid>
      <w:tr w:rsidR="00460557" w:rsidTr="000A6DB5">
        <w:trPr>
          <w:tblHeader/>
          <w:jc w:val="center"/>
        </w:trPr>
        <w:tc>
          <w:tcPr>
            <w:tcW w:w="0" w:type="auto"/>
            <w:tcMar>
              <w:top w:w="150" w:type="dxa"/>
              <w:left w:w="0" w:type="dxa"/>
              <w:bottom w:w="150" w:type="dxa"/>
              <w:right w:w="240" w:type="dxa"/>
            </w:tcMar>
            <w:vAlign w:val="center"/>
            <w:hideMark/>
          </w:tcPr>
          <w:p w:rsidR="00F37199" w:rsidRPr="000A6DB5" w:rsidRDefault="00CB6AA0" w:rsidP="00846953">
            <w:pPr>
              <w:jc w:val="both"/>
              <w:rPr>
                <w:rFonts w:ascii="Cambria" w:eastAsia="Cambria" w:hAnsi="Cambria" w:cs="Cambria"/>
                <w:b/>
                <w:color w:val="000000"/>
                <w:lang w:val="id-ID"/>
              </w:rPr>
            </w:pPr>
            <w:r w:rsidRPr="000A6DB5">
              <w:rPr>
                <w:rFonts w:ascii="Cambria" w:eastAsia="Cambria" w:hAnsi="Cambria" w:cs="Cambria"/>
                <w:b/>
                <w:color w:val="000000"/>
                <w:lang w:val="id-ID"/>
              </w:rPr>
              <w:t>Construct Pair</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
                <w:color w:val="000000"/>
                <w:lang w:val="id-ID"/>
              </w:rPr>
            </w:pPr>
            <w:r w:rsidRPr="000A6DB5">
              <w:rPr>
                <w:rFonts w:ascii="Cambria" w:eastAsia="Cambria" w:hAnsi="Cambria" w:cs="Cambria"/>
                <w:b/>
                <w:color w:val="000000"/>
                <w:lang w:val="id-ID"/>
              </w:rPr>
              <w:t>HTMT</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
                <w:color w:val="000000"/>
                <w:lang w:val="id-ID"/>
              </w:rPr>
            </w:pPr>
            <w:r w:rsidRPr="000A6DB5">
              <w:rPr>
                <w:rFonts w:ascii="Cambria" w:eastAsia="Cambria" w:hAnsi="Cambria" w:cs="Cambria"/>
                <w:b/>
                <w:color w:val="000000"/>
                <w:lang w:val="id-ID"/>
              </w:rPr>
              <w:t>90% Confidence Interval</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
                <w:color w:val="000000"/>
                <w:lang w:val="id-ID"/>
              </w:rPr>
            </w:pPr>
            <w:r w:rsidRPr="000A6DB5">
              <w:rPr>
                <w:rFonts w:ascii="Cambria" w:eastAsia="Cambria" w:hAnsi="Cambria" w:cs="Cambria"/>
                <w:b/>
                <w:color w:val="000000"/>
                <w:lang w:val="id-ID"/>
              </w:rPr>
              <w:t>Cut-off</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
                <w:color w:val="000000"/>
                <w:lang w:val="id-ID"/>
              </w:rPr>
            </w:pPr>
            <w:r w:rsidRPr="000A6DB5">
              <w:rPr>
                <w:rFonts w:ascii="Cambria" w:eastAsia="Cambria" w:hAnsi="Cambria" w:cs="Cambria"/>
                <w:b/>
                <w:color w:val="000000"/>
                <w:lang w:val="id-ID"/>
              </w:rPr>
              <w:t>Status</w:t>
            </w:r>
          </w:p>
        </w:tc>
      </w:tr>
      <w:tr w:rsidR="00460557" w:rsidTr="000A6DB5">
        <w:trPr>
          <w:jc w:val="center"/>
        </w:trPr>
        <w:tc>
          <w:tcPr>
            <w:tcW w:w="0" w:type="auto"/>
            <w:tcMar>
              <w:top w:w="150" w:type="dxa"/>
              <w:left w:w="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X ↔ Y</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0.584</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[0.432; 0.706]</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&lt; 0.90</w:t>
            </w:r>
          </w:p>
        </w:tc>
        <w:tc>
          <w:tcPr>
            <w:tcW w:w="0" w:type="auto"/>
            <w:tcMar>
              <w:top w:w="150" w:type="dxa"/>
              <w:left w:w="240" w:type="dxa"/>
              <w:bottom w:w="150" w:type="dxa"/>
              <w:right w:w="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Established</w:t>
            </w:r>
          </w:p>
        </w:tc>
      </w:tr>
    </w:tbl>
    <w:p w:rsidR="00F37199" w:rsidRPr="006C623C" w:rsidRDefault="00CB6AA0" w:rsidP="00CB6AA0">
      <w:pPr>
        <w:spacing w:before="120" w:after="60"/>
        <w:jc w:val="both"/>
        <w:rPr>
          <w:rFonts w:ascii="Cambria" w:eastAsia="Cambria" w:hAnsi="Cambria" w:cs="Cambria"/>
          <w:b/>
          <w:bCs/>
          <w:color w:val="000000"/>
          <w:sz w:val="24"/>
          <w:szCs w:val="24"/>
          <w:lang w:val="id-ID"/>
        </w:rPr>
      </w:pPr>
      <w:r w:rsidRPr="006C623C">
        <w:rPr>
          <w:rFonts w:ascii="Cambria" w:eastAsia="Cambria" w:hAnsi="Cambria" w:cs="Cambria"/>
          <w:b/>
          <w:bCs/>
          <w:color w:val="000000"/>
          <w:sz w:val="24"/>
          <w:szCs w:val="24"/>
          <w:lang w:val="id-ID"/>
        </w:rPr>
        <w:t>Multicollinearity</w:t>
      </w:r>
    </w:p>
    <w:p w:rsidR="00F37199" w:rsidRPr="006C623C" w:rsidRDefault="00CB6AA0" w:rsidP="00CB6AA0">
      <w:pPr>
        <w:spacing w:before="60" w:after="60"/>
        <w:ind w:firstLine="2127"/>
        <w:rPr>
          <w:rFonts w:ascii="Cambria" w:eastAsia="Cambria" w:hAnsi="Cambria" w:cs="Cambria"/>
          <w:b/>
          <w:color w:val="000000"/>
          <w:sz w:val="24"/>
          <w:szCs w:val="24"/>
          <w:lang w:val="id-ID"/>
        </w:rPr>
      </w:pPr>
      <w:r w:rsidRPr="006C623C">
        <w:rPr>
          <w:rFonts w:ascii="Cambria" w:eastAsia="Cambria" w:hAnsi="Cambria" w:cs="Cambria"/>
          <w:b/>
          <w:bCs/>
          <w:color w:val="000000"/>
          <w:sz w:val="24"/>
          <w:szCs w:val="24"/>
          <w:lang w:val="id-ID"/>
        </w:rPr>
        <w:t>Table 1</w:t>
      </w:r>
      <w:r>
        <w:rPr>
          <w:rFonts w:ascii="Cambria" w:eastAsia="Cambria" w:hAnsi="Cambria" w:cs="Cambria"/>
          <w:b/>
          <w:bCs/>
          <w:color w:val="000000"/>
          <w:sz w:val="24"/>
          <w:szCs w:val="24"/>
          <w:lang w:val="id-ID"/>
        </w:rPr>
        <w:t>5</w:t>
      </w:r>
      <w:r w:rsidR="000A6DB5">
        <w:rPr>
          <w:rFonts w:ascii="Cambria" w:eastAsia="Cambria" w:hAnsi="Cambria" w:cs="Cambria"/>
          <w:b/>
          <w:bCs/>
          <w:color w:val="000000"/>
          <w:sz w:val="24"/>
          <w:szCs w:val="24"/>
          <w:lang w:val="id-ID"/>
        </w:rPr>
        <w:t>.</w:t>
      </w:r>
      <w:r w:rsidRPr="006C623C">
        <w:rPr>
          <w:rFonts w:ascii="Cambria" w:eastAsia="Cambria" w:hAnsi="Cambria" w:cs="Cambria"/>
          <w:b/>
          <w:color w:val="000000"/>
          <w:sz w:val="24"/>
          <w:szCs w:val="24"/>
          <w:lang w:val="id-ID"/>
        </w:rPr>
        <w:t> </w:t>
      </w:r>
      <w:r w:rsidRPr="00615072">
        <w:rPr>
          <w:rFonts w:ascii="Cambria" w:eastAsia="Cambria" w:hAnsi="Cambria" w:cs="Cambria"/>
          <w:bCs/>
          <w:color w:val="000000"/>
          <w:sz w:val="24"/>
          <w:szCs w:val="24"/>
          <w:lang w:val="id-ID"/>
        </w:rPr>
        <w:t>Outer Variance Inflation Factor (VIF)</w:t>
      </w:r>
    </w:p>
    <w:tbl>
      <w:tblPr>
        <w:tblW w:w="0" w:type="auto"/>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093"/>
        <w:gridCol w:w="964"/>
        <w:gridCol w:w="1333"/>
        <w:gridCol w:w="964"/>
        <w:gridCol w:w="1333"/>
        <w:gridCol w:w="788"/>
      </w:tblGrid>
      <w:tr w:rsidR="00460557" w:rsidTr="000A6DB5">
        <w:trPr>
          <w:tblHeader/>
          <w:jc w:val="cent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rsidR="00F37199" w:rsidRPr="000A6DB5" w:rsidRDefault="00CB6AA0" w:rsidP="00846953">
            <w:pPr>
              <w:jc w:val="both"/>
              <w:rPr>
                <w:rFonts w:ascii="Cambria" w:eastAsia="Cambria" w:hAnsi="Cambria" w:cs="Cambria"/>
                <w:b/>
                <w:color w:val="000000"/>
                <w:lang w:val="id-ID"/>
              </w:rPr>
            </w:pPr>
            <w:r w:rsidRPr="000A6DB5">
              <w:rPr>
                <w:rFonts w:ascii="Cambria" w:eastAsia="Cambria" w:hAnsi="Cambria" w:cs="Cambria"/>
                <w:b/>
                <w:color w:val="000000"/>
                <w:lang w:val="id-ID"/>
              </w:rPr>
              <w:t>Indicator</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
                <w:color w:val="000000"/>
                <w:lang w:val="id-ID"/>
              </w:rPr>
            </w:pPr>
            <w:r w:rsidRPr="000A6DB5">
              <w:rPr>
                <w:rFonts w:ascii="Cambria" w:eastAsia="Cambria" w:hAnsi="Cambria" w:cs="Cambria"/>
                <w:b/>
                <w:color w:val="000000"/>
                <w:lang w:val="id-ID"/>
              </w:rPr>
              <w:t>VIF</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
                <w:color w:val="000000"/>
                <w:lang w:val="id-ID"/>
              </w:rPr>
            </w:pPr>
            <w:r w:rsidRPr="000A6DB5">
              <w:rPr>
                <w:rFonts w:ascii="Cambria" w:eastAsia="Cambria" w:hAnsi="Cambria" w:cs="Cambria"/>
                <w:b/>
                <w:color w:val="000000"/>
                <w:lang w:val="id-ID"/>
              </w:rPr>
              <w:t>Indicator</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
                <w:color w:val="000000"/>
                <w:lang w:val="id-ID"/>
              </w:rPr>
            </w:pPr>
            <w:r w:rsidRPr="000A6DB5">
              <w:rPr>
                <w:rFonts w:ascii="Cambria" w:eastAsia="Cambria" w:hAnsi="Cambria" w:cs="Cambria"/>
                <w:b/>
                <w:color w:val="000000"/>
                <w:lang w:val="id-ID"/>
              </w:rPr>
              <w:t>VIF</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
                <w:color w:val="000000"/>
                <w:lang w:val="id-ID"/>
              </w:rPr>
            </w:pPr>
            <w:r w:rsidRPr="000A6DB5">
              <w:rPr>
                <w:rFonts w:ascii="Cambria" w:eastAsia="Cambria" w:hAnsi="Cambria" w:cs="Cambria"/>
                <w:b/>
                <w:color w:val="000000"/>
                <w:lang w:val="id-ID"/>
              </w:rPr>
              <w:t>Indicator</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
                <w:color w:val="000000"/>
                <w:lang w:val="id-ID"/>
              </w:rPr>
            </w:pPr>
            <w:r w:rsidRPr="000A6DB5">
              <w:rPr>
                <w:rFonts w:ascii="Cambria" w:eastAsia="Cambria" w:hAnsi="Cambria" w:cs="Cambria"/>
                <w:b/>
                <w:color w:val="000000"/>
                <w:lang w:val="id-ID"/>
              </w:rPr>
              <w:t>VIF</w:t>
            </w:r>
          </w:p>
        </w:tc>
      </w:tr>
      <w:tr w:rsidR="00460557" w:rsidTr="000A6DB5">
        <w:trPr>
          <w:jc w:val="center"/>
        </w:trPr>
        <w:tc>
          <w:tcPr>
            <w:tcW w:w="0" w:type="auto"/>
            <w:tcBorders>
              <w:top w:val="single" w:sz="4" w:space="0" w:color="auto"/>
            </w:tcBorders>
            <w:tcMar>
              <w:top w:w="150" w:type="dxa"/>
              <w:left w:w="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X1_1</w:t>
            </w:r>
          </w:p>
        </w:tc>
        <w:tc>
          <w:tcPr>
            <w:tcW w:w="0" w:type="auto"/>
            <w:tcBorders>
              <w:top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2.043</w:t>
            </w:r>
          </w:p>
        </w:tc>
        <w:tc>
          <w:tcPr>
            <w:tcW w:w="0" w:type="auto"/>
            <w:tcBorders>
              <w:top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Y1_1</w:t>
            </w:r>
          </w:p>
        </w:tc>
        <w:tc>
          <w:tcPr>
            <w:tcW w:w="0" w:type="auto"/>
            <w:tcBorders>
              <w:top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2.448</w:t>
            </w:r>
          </w:p>
        </w:tc>
        <w:tc>
          <w:tcPr>
            <w:tcW w:w="0" w:type="auto"/>
            <w:tcBorders>
              <w:top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Y2_4</w:t>
            </w:r>
          </w:p>
        </w:tc>
        <w:tc>
          <w:tcPr>
            <w:tcW w:w="0" w:type="auto"/>
            <w:tcBorders>
              <w:top w:val="single" w:sz="4" w:space="0" w:color="auto"/>
            </w:tcBorders>
            <w:tcMar>
              <w:top w:w="150" w:type="dxa"/>
              <w:left w:w="240" w:type="dxa"/>
              <w:bottom w:w="150" w:type="dxa"/>
              <w:right w:w="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2.303</w:t>
            </w:r>
          </w:p>
        </w:tc>
      </w:tr>
      <w:tr w:rsidR="00460557" w:rsidTr="000A6DB5">
        <w:trPr>
          <w:jc w:val="center"/>
        </w:trPr>
        <w:tc>
          <w:tcPr>
            <w:tcW w:w="0" w:type="auto"/>
            <w:tcMar>
              <w:top w:w="150" w:type="dxa"/>
              <w:left w:w="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X1_2</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2.141</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Y1_2</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2.224</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Y3_1</w:t>
            </w:r>
          </w:p>
        </w:tc>
        <w:tc>
          <w:tcPr>
            <w:tcW w:w="0" w:type="auto"/>
            <w:tcMar>
              <w:top w:w="150" w:type="dxa"/>
              <w:left w:w="240" w:type="dxa"/>
              <w:bottom w:w="150" w:type="dxa"/>
              <w:right w:w="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2.588</w:t>
            </w:r>
          </w:p>
        </w:tc>
      </w:tr>
      <w:tr w:rsidR="00460557" w:rsidTr="000A6DB5">
        <w:trPr>
          <w:jc w:val="center"/>
        </w:trPr>
        <w:tc>
          <w:tcPr>
            <w:tcW w:w="0" w:type="auto"/>
            <w:tcMar>
              <w:top w:w="150" w:type="dxa"/>
              <w:left w:w="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X1_3</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1.891</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Y1_3</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2.269</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Y3_2</w:t>
            </w:r>
          </w:p>
        </w:tc>
        <w:tc>
          <w:tcPr>
            <w:tcW w:w="0" w:type="auto"/>
            <w:tcMar>
              <w:top w:w="150" w:type="dxa"/>
              <w:left w:w="240" w:type="dxa"/>
              <w:bottom w:w="150" w:type="dxa"/>
              <w:right w:w="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1.926</w:t>
            </w:r>
          </w:p>
        </w:tc>
      </w:tr>
      <w:tr w:rsidR="00460557" w:rsidTr="000A6DB5">
        <w:trPr>
          <w:jc w:val="center"/>
        </w:trPr>
        <w:tc>
          <w:tcPr>
            <w:tcW w:w="0" w:type="auto"/>
            <w:tcMar>
              <w:top w:w="150" w:type="dxa"/>
              <w:left w:w="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X1_4</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1.865</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Y1_4</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2.119</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Y3_3</w:t>
            </w:r>
          </w:p>
        </w:tc>
        <w:tc>
          <w:tcPr>
            <w:tcW w:w="0" w:type="auto"/>
            <w:tcMar>
              <w:top w:w="150" w:type="dxa"/>
              <w:left w:w="240" w:type="dxa"/>
              <w:bottom w:w="150" w:type="dxa"/>
              <w:right w:w="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2.264</w:t>
            </w:r>
          </w:p>
        </w:tc>
      </w:tr>
      <w:tr w:rsidR="00460557" w:rsidTr="000A6DB5">
        <w:trPr>
          <w:jc w:val="center"/>
        </w:trPr>
        <w:tc>
          <w:tcPr>
            <w:tcW w:w="0" w:type="auto"/>
            <w:tcMar>
              <w:top w:w="150" w:type="dxa"/>
              <w:left w:w="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X1_6</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1.771</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Y1_5</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1.876</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Y4_1</w:t>
            </w:r>
          </w:p>
        </w:tc>
        <w:tc>
          <w:tcPr>
            <w:tcW w:w="0" w:type="auto"/>
            <w:tcMar>
              <w:top w:w="150" w:type="dxa"/>
              <w:left w:w="240" w:type="dxa"/>
              <w:bottom w:w="150" w:type="dxa"/>
              <w:right w:w="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2.528</w:t>
            </w:r>
          </w:p>
        </w:tc>
      </w:tr>
      <w:tr w:rsidR="00460557" w:rsidTr="000A6DB5">
        <w:trPr>
          <w:jc w:val="center"/>
        </w:trPr>
        <w:tc>
          <w:tcPr>
            <w:tcW w:w="0" w:type="auto"/>
            <w:tcMar>
              <w:top w:w="150" w:type="dxa"/>
              <w:left w:w="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X2_1</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2.420</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Y1_6</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2.143</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Y4_2</w:t>
            </w:r>
          </w:p>
        </w:tc>
        <w:tc>
          <w:tcPr>
            <w:tcW w:w="0" w:type="auto"/>
            <w:tcMar>
              <w:top w:w="150" w:type="dxa"/>
              <w:left w:w="240" w:type="dxa"/>
              <w:bottom w:w="150" w:type="dxa"/>
              <w:right w:w="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2.188</w:t>
            </w:r>
          </w:p>
        </w:tc>
      </w:tr>
      <w:tr w:rsidR="00460557" w:rsidTr="000A6DB5">
        <w:trPr>
          <w:jc w:val="center"/>
        </w:trPr>
        <w:tc>
          <w:tcPr>
            <w:tcW w:w="0" w:type="auto"/>
            <w:tcMar>
              <w:top w:w="150" w:type="dxa"/>
              <w:left w:w="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X2_2</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2.009</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Y2_1</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2.897</w:t>
            </w:r>
          </w:p>
        </w:tc>
        <w:tc>
          <w:tcPr>
            <w:tcW w:w="0" w:type="auto"/>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lang w:val="id-ID"/>
              </w:rPr>
            </w:pPr>
          </w:p>
        </w:tc>
        <w:tc>
          <w:tcPr>
            <w:tcW w:w="0" w:type="auto"/>
            <w:tcMar>
              <w:top w:w="150" w:type="dxa"/>
              <w:left w:w="240" w:type="dxa"/>
              <w:bottom w:w="150" w:type="dxa"/>
              <w:right w:w="0" w:type="dxa"/>
            </w:tcMar>
            <w:vAlign w:val="center"/>
            <w:hideMark/>
          </w:tcPr>
          <w:p w:rsidR="00F37199" w:rsidRPr="000A6DB5" w:rsidRDefault="00F37199" w:rsidP="00846953">
            <w:pPr>
              <w:jc w:val="both"/>
              <w:rPr>
                <w:rFonts w:ascii="Cambria" w:eastAsia="Cambria" w:hAnsi="Cambria" w:cs="Cambria"/>
                <w:bCs/>
                <w:color w:val="000000"/>
                <w:lang w:val="id-ID"/>
              </w:rPr>
            </w:pPr>
          </w:p>
        </w:tc>
      </w:tr>
      <w:tr w:rsidR="00460557" w:rsidTr="000A6DB5">
        <w:trPr>
          <w:jc w:val="center"/>
        </w:trPr>
        <w:tc>
          <w:tcPr>
            <w:tcW w:w="0" w:type="auto"/>
            <w:tcMar>
              <w:top w:w="150" w:type="dxa"/>
              <w:left w:w="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lastRenderedPageBreak/>
              <w:t>X2_3</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2.169</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Y2_2</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1.983</w:t>
            </w:r>
          </w:p>
        </w:tc>
        <w:tc>
          <w:tcPr>
            <w:tcW w:w="0" w:type="auto"/>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lang w:val="id-ID"/>
              </w:rPr>
            </w:pPr>
          </w:p>
        </w:tc>
        <w:tc>
          <w:tcPr>
            <w:tcW w:w="0" w:type="auto"/>
            <w:tcMar>
              <w:top w:w="150" w:type="dxa"/>
              <w:left w:w="240" w:type="dxa"/>
              <w:bottom w:w="150" w:type="dxa"/>
              <w:right w:w="0" w:type="dxa"/>
            </w:tcMar>
            <w:vAlign w:val="center"/>
            <w:hideMark/>
          </w:tcPr>
          <w:p w:rsidR="00F37199" w:rsidRPr="000A6DB5" w:rsidRDefault="00F37199" w:rsidP="00846953">
            <w:pPr>
              <w:jc w:val="both"/>
              <w:rPr>
                <w:rFonts w:ascii="Cambria" w:eastAsia="Cambria" w:hAnsi="Cambria" w:cs="Cambria"/>
                <w:bCs/>
                <w:color w:val="000000"/>
                <w:lang w:val="id-ID"/>
              </w:rPr>
            </w:pPr>
          </w:p>
        </w:tc>
      </w:tr>
      <w:tr w:rsidR="00460557" w:rsidTr="000A6DB5">
        <w:trPr>
          <w:jc w:val="center"/>
        </w:trPr>
        <w:tc>
          <w:tcPr>
            <w:tcW w:w="0" w:type="auto"/>
            <w:tcMar>
              <w:top w:w="150" w:type="dxa"/>
              <w:left w:w="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X2_4</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2.119</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Y2_3</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2.315</w:t>
            </w:r>
          </w:p>
        </w:tc>
        <w:tc>
          <w:tcPr>
            <w:tcW w:w="0" w:type="auto"/>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lang w:val="id-ID"/>
              </w:rPr>
            </w:pPr>
          </w:p>
        </w:tc>
        <w:tc>
          <w:tcPr>
            <w:tcW w:w="0" w:type="auto"/>
            <w:tcMar>
              <w:top w:w="150" w:type="dxa"/>
              <w:left w:w="240" w:type="dxa"/>
              <w:bottom w:w="150" w:type="dxa"/>
              <w:right w:w="0" w:type="dxa"/>
            </w:tcMar>
            <w:vAlign w:val="center"/>
            <w:hideMark/>
          </w:tcPr>
          <w:p w:rsidR="00F37199" w:rsidRPr="000A6DB5" w:rsidRDefault="00F37199" w:rsidP="00846953">
            <w:pPr>
              <w:jc w:val="both"/>
              <w:rPr>
                <w:rFonts w:ascii="Cambria" w:eastAsia="Cambria" w:hAnsi="Cambria" w:cs="Cambria"/>
                <w:bCs/>
                <w:color w:val="000000"/>
                <w:lang w:val="id-ID"/>
              </w:rPr>
            </w:pPr>
          </w:p>
        </w:tc>
      </w:tr>
    </w:tbl>
    <w:p w:rsidR="00F37199" w:rsidRPr="00CB6AA0" w:rsidRDefault="00CB6AA0" w:rsidP="000A6DB5">
      <w:pPr>
        <w:ind w:left="1276"/>
        <w:jc w:val="both"/>
        <w:rPr>
          <w:rFonts w:ascii="Cambria" w:eastAsia="Cambria" w:hAnsi="Cambria" w:cs="Cambria"/>
          <w:bCs/>
          <w:color w:val="000000"/>
          <w:sz w:val="22"/>
          <w:szCs w:val="22"/>
          <w:lang w:val="id-ID"/>
        </w:rPr>
      </w:pPr>
      <w:r w:rsidRPr="00CB6AA0">
        <w:rPr>
          <w:rFonts w:ascii="Cambria" w:eastAsia="Cambria" w:hAnsi="Cambria" w:cs="Cambria"/>
          <w:bCs/>
          <w:i/>
          <w:iCs/>
          <w:color w:val="000000"/>
          <w:sz w:val="22"/>
          <w:szCs w:val="22"/>
          <w:lang w:val="id-ID"/>
        </w:rPr>
        <w:t>All VIF values are &lt; 5.0, indicating no multicollinearity issues.</w:t>
      </w:r>
    </w:p>
    <w:p w:rsidR="00F37199" w:rsidRPr="006C623C" w:rsidRDefault="00CB6AA0" w:rsidP="000A6DB5">
      <w:pPr>
        <w:spacing w:before="120" w:after="60"/>
        <w:jc w:val="both"/>
        <w:rPr>
          <w:rFonts w:ascii="Cambria" w:eastAsia="Cambria" w:hAnsi="Cambria" w:cs="Cambria"/>
          <w:b/>
          <w:bCs/>
          <w:color w:val="000000"/>
          <w:sz w:val="24"/>
          <w:szCs w:val="24"/>
          <w:lang w:val="id-ID"/>
        </w:rPr>
      </w:pPr>
      <w:r w:rsidRPr="006C623C">
        <w:rPr>
          <w:rFonts w:ascii="Cambria" w:eastAsia="Cambria" w:hAnsi="Cambria" w:cs="Cambria"/>
          <w:b/>
          <w:bCs/>
          <w:color w:val="000000"/>
          <w:sz w:val="24"/>
          <w:szCs w:val="24"/>
          <w:lang w:val="id-ID"/>
        </w:rPr>
        <w:t>Structural Model Evaluation (Inner Model)</w:t>
      </w:r>
    </w:p>
    <w:p w:rsidR="00F37199" w:rsidRPr="006C623C" w:rsidRDefault="00CB6AA0" w:rsidP="00CB6AA0">
      <w:pPr>
        <w:spacing w:before="60" w:after="60"/>
        <w:jc w:val="both"/>
        <w:rPr>
          <w:rFonts w:ascii="Cambria" w:eastAsia="Cambria" w:hAnsi="Cambria" w:cs="Cambria"/>
          <w:b/>
          <w:bCs/>
          <w:color w:val="000000"/>
          <w:sz w:val="24"/>
          <w:szCs w:val="24"/>
          <w:lang w:val="id-ID"/>
        </w:rPr>
      </w:pPr>
      <w:r w:rsidRPr="006C623C">
        <w:rPr>
          <w:rFonts w:ascii="Cambria" w:eastAsia="Cambria" w:hAnsi="Cambria" w:cs="Cambria"/>
          <w:b/>
          <w:bCs/>
          <w:color w:val="000000"/>
          <w:sz w:val="24"/>
          <w:szCs w:val="24"/>
          <w:lang w:val="id-ID"/>
        </w:rPr>
        <w:t>Hypothesis Testing</w:t>
      </w:r>
    </w:p>
    <w:p w:rsidR="00F37199" w:rsidRPr="006C623C" w:rsidRDefault="00CB6AA0" w:rsidP="000A6DB5">
      <w:pPr>
        <w:spacing w:before="60" w:after="60"/>
        <w:jc w:val="center"/>
        <w:rPr>
          <w:rFonts w:ascii="Cambria" w:eastAsia="Cambria" w:hAnsi="Cambria" w:cs="Cambria"/>
          <w:b/>
          <w:color w:val="000000"/>
          <w:sz w:val="24"/>
          <w:szCs w:val="24"/>
          <w:lang w:val="id-ID"/>
        </w:rPr>
      </w:pPr>
      <w:r w:rsidRPr="006C623C">
        <w:rPr>
          <w:rFonts w:ascii="Cambria" w:eastAsia="Cambria" w:hAnsi="Cambria" w:cs="Cambria"/>
          <w:b/>
          <w:bCs/>
          <w:color w:val="000000"/>
          <w:sz w:val="24"/>
          <w:szCs w:val="24"/>
          <w:lang w:val="id-ID"/>
        </w:rPr>
        <w:t>Table 1</w:t>
      </w:r>
      <w:r>
        <w:rPr>
          <w:rFonts w:ascii="Cambria" w:eastAsia="Cambria" w:hAnsi="Cambria" w:cs="Cambria"/>
          <w:b/>
          <w:bCs/>
          <w:color w:val="000000"/>
          <w:sz w:val="24"/>
          <w:szCs w:val="24"/>
          <w:lang w:val="id-ID"/>
        </w:rPr>
        <w:t>6</w:t>
      </w:r>
      <w:r w:rsidR="000A6DB5">
        <w:rPr>
          <w:rFonts w:ascii="Cambria" w:eastAsia="Cambria" w:hAnsi="Cambria" w:cs="Cambria"/>
          <w:b/>
          <w:bCs/>
          <w:color w:val="000000"/>
          <w:sz w:val="24"/>
          <w:szCs w:val="24"/>
          <w:lang w:val="id-ID"/>
        </w:rPr>
        <w:t>.</w:t>
      </w:r>
      <w:r w:rsidRPr="006C623C">
        <w:rPr>
          <w:rFonts w:ascii="Cambria" w:eastAsia="Cambria" w:hAnsi="Cambria" w:cs="Cambria"/>
          <w:b/>
          <w:color w:val="000000"/>
          <w:sz w:val="24"/>
          <w:szCs w:val="24"/>
          <w:lang w:val="id-ID"/>
        </w:rPr>
        <w:t> </w:t>
      </w:r>
      <w:r w:rsidRPr="00615072">
        <w:rPr>
          <w:rFonts w:ascii="Cambria" w:eastAsia="Cambria" w:hAnsi="Cambria" w:cs="Cambria"/>
          <w:bCs/>
          <w:color w:val="000000"/>
          <w:sz w:val="24"/>
          <w:szCs w:val="24"/>
          <w:lang w:val="id-ID"/>
        </w:rPr>
        <w:t>Hypothesis Test Results (H1: X → Y)</w:t>
      </w:r>
    </w:p>
    <w:tbl>
      <w:tblPr>
        <w:tblW w:w="0" w:type="auto"/>
        <w:jc w:val="center"/>
        <w:tblBorders>
          <w:top w:val="single" w:sz="4" w:space="0" w:color="auto"/>
          <w:bottom w:val="single" w:sz="4" w:space="0" w:color="auto"/>
          <w:insideH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134"/>
        <w:gridCol w:w="809"/>
        <w:gridCol w:w="892"/>
        <w:gridCol w:w="1132"/>
        <w:gridCol w:w="948"/>
        <w:gridCol w:w="897"/>
        <w:gridCol w:w="964"/>
        <w:gridCol w:w="1223"/>
        <w:gridCol w:w="1006"/>
      </w:tblGrid>
      <w:tr w:rsidR="00460557" w:rsidTr="00CB6AA0">
        <w:trPr>
          <w:trHeight w:val="591"/>
          <w:tblHeader/>
          <w:jc w:val="center"/>
        </w:trPr>
        <w:tc>
          <w:tcPr>
            <w:tcW w:w="1134" w:type="dxa"/>
            <w:tcMar>
              <w:top w:w="150" w:type="dxa"/>
              <w:left w:w="0" w:type="dxa"/>
              <w:bottom w:w="150" w:type="dxa"/>
              <w:right w:w="240" w:type="dxa"/>
            </w:tcMar>
            <w:vAlign w:val="center"/>
            <w:hideMark/>
          </w:tcPr>
          <w:p w:rsidR="00F37199" w:rsidRPr="006B0C84" w:rsidRDefault="00CB6AA0" w:rsidP="00846953">
            <w:pPr>
              <w:jc w:val="both"/>
              <w:rPr>
                <w:rFonts w:ascii="Cambria" w:eastAsia="Cambria" w:hAnsi="Cambria" w:cs="Cambria"/>
                <w:b/>
                <w:color w:val="000000"/>
                <w:sz w:val="16"/>
                <w:szCs w:val="16"/>
                <w:lang w:val="id-ID"/>
              </w:rPr>
            </w:pPr>
            <w:r w:rsidRPr="006B0C84">
              <w:rPr>
                <w:rFonts w:ascii="Cambria" w:eastAsia="Cambria" w:hAnsi="Cambria" w:cs="Cambria"/>
                <w:b/>
                <w:color w:val="000000"/>
                <w:sz w:val="16"/>
                <w:szCs w:val="16"/>
                <w:lang w:val="id-ID"/>
              </w:rPr>
              <w:t>Hypothesis</w:t>
            </w:r>
          </w:p>
        </w:tc>
        <w:tc>
          <w:tcPr>
            <w:tcW w:w="809" w:type="dxa"/>
            <w:tcMar>
              <w:top w:w="150" w:type="dxa"/>
              <w:left w:w="240" w:type="dxa"/>
              <w:bottom w:w="150" w:type="dxa"/>
              <w:right w:w="240" w:type="dxa"/>
            </w:tcMar>
            <w:vAlign w:val="center"/>
            <w:hideMark/>
          </w:tcPr>
          <w:p w:rsidR="00F37199" w:rsidRPr="006B0C84" w:rsidRDefault="00CB6AA0" w:rsidP="00846953">
            <w:pPr>
              <w:ind w:right="-83"/>
              <w:jc w:val="both"/>
              <w:rPr>
                <w:rFonts w:ascii="Cambria" w:eastAsia="Cambria" w:hAnsi="Cambria" w:cs="Cambria"/>
                <w:b/>
                <w:color w:val="000000"/>
                <w:sz w:val="16"/>
                <w:szCs w:val="16"/>
                <w:lang w:val="id-ID"/>
              </w:rPr>
            </w:pPr>
            <w:r w:rsidRPr="006B0C84">
              <w:rPr>
                <w:rFonts w:ascii="Cambria" w:eastAsia="Cambria" w:hAnsi="Cambria" w:cs="Cambria"/>
                <w:b/>
                <w:color w:val="000000"/>
                <w:sz w:val="16"/>
                <w:szCs w:val="16"/>
                <w:lang w:val="id-ID"/>
              </w:rPr>
              <w:t>Path</w:t>
            </w:r>
          </w:p>
        </w:tc>
        <w:tc>
          <w:tcPr>
            <w:tcW w:w="892" w:type="dxa"/>
            <w:tcMar>
              <w:top w:w="150" w:type="dxa"/>
              <w:left w:w="240" w:type="dxa"/>
              <w:bottom w:w="150" w:type="dxa"/>
              <w:right w:w="240" w:type="dxa"/>
            </w:tcMar>
            <w:vAlign w:val="center"/>
            <w:hideMark/>
          </w:tcPr>
          <w:p w:rsidR="00F37199" w:rsidRPr="006B0C84" w:rsidRDefault="00CB6AA0" w:rsidP="00846953">
            <w:pPr>
              <w:jc w:val="both"/>
              <w:rPr>
                <w:rFonts w:ascii="Cambria" w:eastAsia="Cambria" w:hAnsi="Cambria" w:cs="Cambria"/>
                <w:b/>
                <w:color w:val="000000"/>
                <w:sz w:val="16"/>
                <w:szCs w:val="16"/>
                <w:lang w:val="id-ID"/>
              </w:rPr>
            </w:pPr>
            <w:r w:rsidRPr="006B0C84">
              <w:rPr>
                <w:rFonts w:ascii="Cambria" w:eastAsia="Cambria" w:hAnsi="Cambria" w:cs="Cambria"/>
                <w:b/>
                <w:color w:val="000000"/>
                <w:sz w:val="16"/>
                <w:szCs w:val="16"/>
                <w:lang w:val="id-ID"/>
              </w:rPr>
              <w:t>β</w:t>
            </w:r>
          </w:p>
        </w:tc>
        <w:tc>
          <w:tcPr>
            <w:tcW w:w="1132" w:type="dxa"/>
            <w:tcMar>
              <w:top w:w="150" w:type="dxa"/>
              <w:left w:w="240" w:type="dxa"/>
              <w:bottom w:w="150" w:type="dxa"/>
              <w:right w:w="240" w:type="dxa"/>
            </w:tcMar>
            <w:vAlign w:val="center"/>
            <w:hideMark/>
          </w:tcPr>
          <w:p w:rsidR="00F37199" w:rsidRPr="006B0C84" w:rsidRDefault="00CB6AA0" w:rsidP="00846953">
            <w:pPr>
              <w:jc w:val="both"/>
              <w:rPr>
                <w:rFonts w:ascii="Cambria" w:eastAsia="Cambria" w:hAnsi="Cambria" w:cs="Cambria"/>
                <w:b/>
                <w:color w:val="000000"/>
                <w:sz w:val="16"/>
                <w:szCs w:val="16"/>
                <w:lang w:val="id-ID"/>
              </w:rPr>
            </w:pPr>
            <w:r w:rsidRPr="006B0C84">
              <w:rPr>
                <w:rFonts w:ascii="Cambria" w:eastAsia="Cambria" w:hAnsi="Cambria" w:cs="Cambria"/>
                <w:b/>
                <w:color w:val="000000"/>
                <w:sz w:val="16"/>
                <w:szCs w:val="16"/>
                <w:lang w:val="id-ID"/>
              </w:rPr>
              <w:t>Sample Mean</w:t>
            </w:r>
          </w:p>
        </w:tc>
        <w:tc>
          <w:tcPr>
            <w:tcW w:w="948" w:type="dxa"/>
            <w:tcMar>
              <w:top w:w="150" w:type="dxa"/>
              <w:left w:w="240" w:type="dxa"/>
              <w:bottom w:w="150" w:type="dxa"/>
              <w:right w:w="240" w:type="dxa"/>
            </w:tcMar>
            <w:vAlign w:val="center"/>
            <w:hideMark/>
          </w:tcPr>
          <w:p w:rsidR="00F37199" w:rsidRPr="006B0C84" w:rsidRDefault="00CB6AA0" w:rsidP="00846953">
            <w:pPr>
              <w:jc w:val="both"/>
              <w:rPr>
                <w:rFonts w:ascii="Cambria" w:eastAsia="Cambria" w:hAnsi="Cambria" w:cs="Cambria"/>
                <w:b/>
                <w:color w:val="000000"/>
                <w:sz w:val="16"/>
                <w:szCs w:val="16"/>
                <w:lang w:val="id-ID"/>
              </w:rPr>
            </w:pPr>
            <w:r w:rsidRPr="006B0C84">
              <w:rPr>
                <w:rFonts w:ascii="Cambria" w:eastAsia="Cambria" w:hAnsi="Cambria" w:cs="Cambria"/>
                <w:b/>
                <w:color w:val="000000"/>
                <w:sz w:val="16"/>
                <w:szCs w:val="16"/>
                <w:lang w:val="id-ID"/>
              </w:rPr>
              <w:t>Std Dev</w:t>
            </w:r>
          </w:p>
        </w:tc>
        <w:tc>
          <w:tcPr>
            <w:tcW w:w="897" w:type="dxa"/>
            <w:tcMar>
              <w:top w:w="150" w:type="dxa"/>
              <w:left w:w="240" w:type="dxa"/>
              <w:bottom w:w="150" w:type="dxa"/>
              <w:right w:w="240" w:type="dxa"/>
            </w:tcMar>
            <w:vAlign w:val="center"/>
            <w:hideMark/>
          </w:tcPr>
          <w:p w:rsidR="00F37199" w:rsidRPr="006B0C84" w:rsidRDefault="00CB6AA0" w:rsidP="00846953">
            <w:pPr>
              <w:jc w:val="both"/>
              <w:rPr>
                <w:rFonts w:ascii="Cambria" w:eastAsia="Cambria" w:hAnsi="Cambria" w:cs="Cambria"/>
                <w:b/>
                <w:color w:val="000000"/>
                <w:sz w:val="16"/>
                <w:szCs w:val="16"/>
                <w:lang w:val="id-ID"/>
              </w:rPr>
            </w:pPr>
            <w:r w:rsidRPr="006B0C84">
              <w:rPr>
                <w:rFonts w:ascii="Cambria" w:eastAsia="Cambria" w:hAnsi="Cambria" w:cs="Cambria"/>
                <w:b/>
                <w:color w:val="000000"/>
                <w:sz w:val="16"/>
                <w:szCs w:val="16"/>
                <w:lang w:val="id-ID"/>
              </w:rPr>
              <w:t>t-value</w:t>
            </w:r>
          </w:p>
        </w:tc>
        <w:tc>
          <w:tcPr>
            <w:tcW w:w="964" w:type="dxa"/>
            <w:tcMar>
              <w:top w:w="150" w:type="dxa"/>
              <w:left w:w="240" w:type="dxa"/>
              <w:bottom w:w="150" w:type="dxa"/>
              <w:right w:w="240" w:type="dxa"/>
            </w:tcMar>
            <w:vAlign w:val="center"/>
            <w:hideMark/>
          </w:tcPr>
          <w:p w:rsidR="00F37199" w:rsidRPr="006B0C84" w:rsidRDefault="00CB6AA0" w:rsidP="00846953">
            <w:pPr>
              <w:jc w:val="both"/>
              <w:rPr>
                <w:rFonts w:ascii="Cambria" w:eastAsia="Cambria" w:hAnsi="Cambria" w:cs="Cambria"/>
                <w:b/>
                <w:color w:val="000000"/>
                <w:sz w:val="16"/>
                <w:szCs w:val="16"/>
                <w:lang w:val="id-ID"/>
              </w:rPr>
            </w:pPr>
            <w:r w:rsidRPr="006B0C84">
              <w:rPr>
                <w:rFonts w:ascii="Cambria" w:eastAsia="Cambria" w:hAnsi="Cambria" w:cs="Cambria"/>
                <w:b/>
                <w:color w:val="000000"/>
                <w:sz w:val="16"/>
                <w:szCs w:val="16"/>
                <w:lang w:val="id-ID"/>
              </w:rPr>
              <w:t>p-value</w:t>
            </w:r>
          </w:p>
        </w:tc>
        <w:tc>
          <w:tcPr>
            <w:tcW w:w="1223" w:type="dxa"/>
            <w:tcMar>
              <w:top w:w="150" w:type="dxa"/>
              <w:left w:w="240" w:type="dxa"/>
              <w:bottom w:w="150" w:type="dxa"/>
              <w:right w:w="240" w:type="dxa"/>
            </w:tcMar>
            <w:vAlign w:val="center"/>
            <w:hideMark/>
          </w:tcPr>
          <w:p w:rsidR="00F37199" w:rsidRPr="006B0C84" w:rsidRDefault="00CB6AA0" w:rsidP="00846953">
            <w:pPr>
              <w:jc w:val="both"/>
              <w:rPr>
                <w:rFonts w:ascii="Cambria" w:eastAsia="Cambria" w:hAnsi="Cambria" w:cs="Cambria"/>
                <w:b/>
                <w:color w:val="000000"/>
                <w:sz w:val="16"/>
                <w:szCs w:val="16"/>
                <w:lang w:val="id-ID"/>
              </w:rPr>
            </w:pPr>
            <w:r w:rsidRPr="006B0C84">
              <w:rPr>
                <w:rFonts w:ascii="Cambria" w:eastAsia="Cambria" w:hAnsi="Cambria" w:cs="Cambria"/>
                <w:b/>
                <w:color w:val="000000"/>
                <w:sz w:val="16"/>
                <w:szCs w:val="16"/>
                <w:lang w:val="id-ID"/>
              </w:rPr>
              <w:t>95% CI</w:t>
            </w:r>
          </w:p>
        </w:tc>
        <w:tc>
          <w:tcPr>
            <w:tcW w:w="1006" w:type="dxa"/>
            <w:tcMar>
              <w:top w:w="150" w:type="dxa"/>
              <w:left w:w="240" w:type="dxa"/>
              <w:bottom w:w="150" w:type="dxa"/>
              <w:right w:w="240" w:type="dxa"/>
            </w:tcMar>
            <w:vAlign w:val="center"/>
            <w:hideMark/>
          </w:tcPr>
          <w:p w:rsidR="00F37199" w:rsidRPr="006B0C84" w:rsidRDefault="00CB6AA0" w:rsidP="00846953">
            <w:pPr>
              <w:jc w:val="both"/>
              <w:rPr>
                <w:rFonts w:ascii="Cambria" w:eastAsia="Cambria" w:hAnsi="Cambria" w:cs="Cambria"/>
                <w:b/>
                <w:color w:val="000000"/>
                <w:sz w:val="16"/>
                <w:szCs w:val="16"/>
                <w:lang w:val="id-ID"/>
              </w:rPr>
            </w:pPr>
            <w:r w:rsidRPr="006B0C84">
              <w:rPr>
                <w:rFonts w:ascii="Cambria" w:eastAsia="Cambria" w:hAnsi="Cambria" w:cs="Cambria"/>
                <w:b/>
                <w:color w:val="000000"/>
                <w:sz w:val="16"/>
                <w:szCs w:val="16"/>
                <w:lang w:val="id-ID"/>
              </w:rPr>
              <w:t>Decision</w:t>
            </w:r>
          </w:p>
        </w:tc>
      </w:tr>
      <w:tr w:rsidR="00460557" w:rsidTr="00CB6AA0">
        <w:trPr>
          <w:trHeight w:val="602"/>
          <w:jc w:val="center"/>
        </w:trPr>
        <w:tc>
          <w:tcPr>
            <w:tcW w:w="1134" w:type="dxa"/>
            <w:tcMar>
              <w:top w:w="150" w:type="dxa"/>
              <w:left w:w="0" w:type="dxa"/>
              <w:bottom w:w="150" w:type="dxa"/>
              <w:right w:w="240" w:type="dxa"/>
            </w:tcMar>
            <w:vAlign w:val="center"/>
            <w:hideMark/>
          </w:tcPr>
          <w:p w:rsidR="00F37199" w:rsidRPr="006B0C84" w:rsidRDefault="00CB6AA0" w:rsidP="00846953">
            <w:pPr>
              <w:jc w:val="both"/>
              <w:rPr>
                <w:rFonts w:ascii="Cambria" w:eastAsia="Cambria" w:hAnsi="Cambria" w:cs="Cambria"/>
                <w:bCs/>
                <w:color w:val="000000"/>
                <w:sz w:val="16"/>
                <w:szCs w:val="16"/>
                <w:lang w:val="id-ID"/>
              </w:rPr>
            </w:pPr>
            <w:r w:rsidRPr="006B0C84">
              <w:rPr>
                <w:rFonts w:ascii="Cambria" w:eastAsia="Cambria" w:hAnsi="Cambria" w:cs="Cambria"/>
                <w:bCs/>
                <w:color w:val="000000"/>
                <w:sz w:val="16"/>
                <w:szCs w:val="16"/>
                <w:lang w:val="id-ID"/>
              </w:rPr>
              <w:t>H1</w:t>
            </w:r>
          </w:p>
        </w:tc>
        <w:tc>
          <w:tcPr>
            <w:tcW w:w="809" w:type="dxa"/>
            <w:tcMar>
              <w:top w:w="150" w:type="dxa"/>
              <w:left w:w="240" w:type="dxa"/>
              <w:bottom w:w="150" w:type="dxa"/>
              <w:right w:w="240" w:type="dxa"/>
            </w:tcMar>
            <w:vAlign w:val="center"/>
            <w:hideMark/>
          </w:tcPr>
          <w:p w:rsidR="00F37199" w:rsidRPr="006B0C84" w:rsidRDefault="00CB6AA0" w:rsidP="00846953">
            <w:pPr>
              <w:ind w:left="-97"/>
              <w:jc w:val="both"/>
              <w:rPr>
                <w:rFonts w:ascii="Cambria" w:eastAsia="Cambria" w:hAnsi="Cambria" w:cs="Cambria"/>
                <w:bCs/>
                <w:color w:val="000000"/>
                <w:sz w:val="16"/>
                <w:szCs w:val="16"/>
                <w:lang w:val="id-ID"/>
              </w:rPr>
            </w:pPr>
            <w:r w:rsidRPr="006B0C84">
              <w:rPr>
                <w:rFonts w:ascii="Cambria" w:eastAsia="Cambria" w:hAnsi="Cambria" w:cs="Cambria"/>
                <w:bCs/>
                <w:color w:val="000000"/>
                <w:sz w:val="16"/>
                <w:szCs w:val="16"/>
                <w:lang w:val="id-ID"/>
              </w:rPr>
              <w:t>X → Y</w:t>
            </w:r>
          </w:p>
        </w:tc>
        <w:tc>
          <w:tcPr>
            <w:tcW w:w="892" w:type="dxa"/>
            <w:tcMar>
              <w:top w:w="150" w:type="dxa"/>
              <w:left w:w="240" w:type="dxa"/>
              <w:bottom w:w="150" w:type="dxa"/>
              <w:right w:w="240" w:type="dxa"/>
            </w:tcMar>
            <w:vAlign w:val="center"/>
            <w:hideMark/>
          </w:tcPr>
          <w:p w:rsidR="00F37199" w:rsidRPr="006B0C84" w:rsidRDefault="00CB6AA0" w:rsidP="00846953">
            <w:pPr>
              <w:jc w:val="both"/>
              <w:rPr>
                <w:rFonts w:ascii="Cambria" w:eastAsia="Cambria" w:hAnsi="Cambria" w:cs="Cambria"/>
                <w:bCs/>
                <w:color w:val="000000"/>
                <w:sz w:val="16"/>
                <w:szCs w:val="16"/>
                <w:lang w:val="id-ID"/>
              </w:rPr>
            </w:pPr>
            <w:r w:rsidRPr="006B0C84">
              <w:rPr>
                <w:rFonts w:ascii="Cambria" w:eastAsia="Cambria" w:hAnsi="Cambria" w:cs="Cambria"/>
                <w:bCs/>
                <w:color w:val="000000"/>
                <w:sz w:val="16"/>
                <w:szCs w:val="16"/>
                <w:lang w:val="id-ID"/>
              </w:rPr>
              <w:t>0.572</w:t>
            </w:r>
          </w:p>
        </w:tc>
        <w:tc>
          <w:tcPr>
            <w:tcW w:w="1132" w:type="dxa"/>
            <w:tcMar>
              <w:top w:w="150" w:type="dxa"/>
              <w:left w:w="240" w:type="dxa"/>
              <w:bottom w:w="150" w:type="dxa"/>
              <w:right w:w="240" w:type="dxa"/>
            </w:tcMar>
            <w:vAlign w:val="center"/>
            <w:hideMark/>
          </w:tcPr>
          <w:p w:rsidR="00F37199" w:rsidRPr="006B0C84" w:rsidRDefault="00CB6AA0" w:rsidP="00846953">
            <w:pPr>
              <w:jc w:val="both"/>
              <w:rPr>
                <w:rFonts w:ascii="Cambria" w:eastAsia="Cambria" w:hAnsi="Cambria" w:cs="Cambria"/>
                <w:bCs/>
                <w:color w:val="000000"/>
                <w:sz w:val="16"/>
                <w:szCs w:val="16"/>
                <w:lang w:val="id-ID"/>
              </w:rPr>
            </w:pPr>
            <w:r w:rsidRPr="006B0C84">
              <w:rPr>
                <w:rFonts w:ascii="Cambria" w:eastAsia="Cambria" w:hAnsi="Cambria" w:cs="Cambria"/>
                <w:bCs/>
                <w:color w:val="000000"/>
                <w:sz w:val="16"/>
                <w:szCs w:val="16"/>
                <w:lang w:val="id-ID"/>
              </w:rPr>
              <w:t>0.591</w:t>
            </w:r>
          </w:p>
        </w:tc>
        <w:tc>
          <w:tcPr>
            <w:tcW w:w="948" w:type="dxa"/>
            <w:tcMar>
              <w:top w:w="150" w:type="dxa"/>
              <w:left w:w="240" w:type="dxa"/>
              <w:bottom w:w="150" w:type="dxa"/>
              <w:right w:w="240" w:type="dxa"/>
            </w:tcMar>
            <w:vAlign w:val="center"/>
            <w:hideMark/>
          </w:tcPr>
          <w:p w:rsidR="00F37199" w:rsidRPr="006B0C84" w:rsidRDefault="00CB6AA0" w:rsidP="00846953">
            <w:pPr>
              <w:jc w:val="both"/>
              <w:rPr>
                <w:rFonts w:ascii="Cambria" w:eastAsia="Cambria" w:hAnsi="Cambria" w:cs="Cambria"/>
                <w:bCs/>
                <w:color w:val="000000"/>
                <w:sz w:val="16"/>
                <w:szCs w:val="16"/>
                <w:lang w:val="id-ID"/>
              </w:rPr>
            </w:pPr>
            <w:r w:rsidRPr="006B0C84">
              <w:rPr>
                <w:rFonts w:ascii="Cambria" w:eastAsia="Cambria" w:hAnsi="Cambria" w:cs="Cambria"/>
                <w:bCs/>
                <w:color w:val="000000"/>
                <w:sz w:val="16"/>
                <w:szCs w:val="16"/>
                <w:lang w:val="id-ID"/>
              </w:rPr>
              <w:t>0.058</w:t>
            </w:r>
          </w:p>
        </w:tc>
        <w:tc>
          <w:tcPr>
            <w:tcW w:w="897" w:type="dxa"/>
            <w:tcMar>
              <w:top w:w="150" w:type="dxa"/>
              <w:left w:w="240" w:type="dxa"/>
              <w:bottom w:w="150" w:type="dxa"/>
              <w:right w:w="240" w:type="dxa"/>
            </w:tcMar>
            <w:vAlign w:val="center"/>
            <w:hideMark/>
          </w:tcPr>
          <w:p w:rsidR="00F37199" w:rsidRPr="006B0C84" w:rsidRDefault="00CB6AA0" w:rsidP="00846953">
            <w:pPr>
              <w:jc w:val="both"/>
              <w:rPr>
                <w:rFonts w:ascii="Cambria" w:eastAsia="Cambria" w:hAnsi="Cambria" w:cs="Cambria"/>
                <w:bCs/>
                <w:color w:val="000000"/>
                <w:sz w:val="16"/>
                <w:szCs w:val="16"/>
                <w:lang w:val="id-ID"/>
              </w:rPr>
            </w:pPr>
            <w:r w:rsidRPr="006B0C84">
              <w:rPr>
                <w:rFonts w:ascii="Cambria" w:eastAsia="Cambria" w:hAnsi="Cambria" w:cs="Cambria"/>
                <w:bCs/>
                <w:color w:val="000000"/>
                <w:sz w:val="16"/>
                <w:szCs w:val="16"/>
                <w:lang w:val="id-ID"/>
              </w:rPr>
              <w:t>9.938</w:t>
            </w:r>
          </w:p>
        </w:tc>
        <w:tc>
          <w:tcPr>
            <w:tcW w:w="964" w:type="dxa"/>
            <w:tcMar>
              <w:top w:w="150" w:type="dxa"/>
              <w:left w:w="240" w:type="dxa"/>
              <w:bottom w:w="150" w:type="dxa"/>
              <w:right w:w="240" w:type="dxa"/>
            </w:tcMar>
            <w:vAlign w:val="center"/>
            <w:hideMark/>
          </w:tcPr>
          <w:p w:rsidR="00F37199" w:rsidRPr="006B0C84" w:rsidRDefault="00CB6AA0" w:rsidP="00846953">
            <w:pPr>
              <w:jc w:val="both"/>
              <w:rPr>
                <w:rFonts w:ascii="Cambria" w:eastAsia="Cambria" w:hAnsi="Cambria" w:cs="Cambria"/>
                <w:bCs/>
                <w:color w:val="000000"/>
                <w:sz w:val="16"/>
                <w:szCs w:val="16"/>
                <w:lang w:val="id-ID"/>
              </w:rPr>
            </w:pPr>
            <w:r w:rsidRPr="006B0C84">
              <w:rPr>
                <w:rFonts w:ascii="Cambria" w:eastAsia="Cambria" w:hAnsi="Cambria" w:cs="Cambria"/>
                <w:bCs/>
                <w:color w:val="000000"/>
                <w:sz w:val="16"/>
                <w:szCs w:val="16"/>
                <w:lang w:val="id-ID"/>
              </w:rPr>
              <w:t>0.000</w:t>
            </w:r>
          </w:p>
        </w:tc>
        <w:tc>
          <w:tcPr>
            <w:tcW w:w="1223" w:type="dxa"/>
            <w:tcMar>
              <w:top w:w="150" w:type="dxa"/>
              <w:left w:w="240" w:type="dxa"/>
              <w:bottom w:w="150" w:type="dxa"/>
              <w:right w:w="240" w:type="dxa"/>
            </w:tcMar>
            <w:vAlign w:val="center"/>
            <w:hideMark/>
          </w:tcPr>
          <w:p w:rsidR="00F37199" w:rsidRPr="006B0C84" w:rsidRDefault="00CB6AA0" w:rsidP="00846953">
            <w:pPr>
              <w:jc w:val="both"/>
              <w:rPr>
                <w:rFonts w:ascii="Cambria" w:eastAsia="Cambria" w:hAnsi="Cambria" w:cs="Cambria"/>
                <w:bCs/>
                <w:color w:val="000000"/>
                <w:sz w:val="16"/>
                <w:szCs w:val="16"/>
                <w:lang w:val="id-ID"/>
              </w:rPr>
            </w:pPr>
            <w:r w:rsidRPr="006B0C84">
              <w:rPr>
                <w:rFonts w:ascii="Cambria" w:eastAsia="Cambria" w:hAnsi="Cambria" w:cs="Cambria"/>
                <w:bCs/>
                <w:color w:val="000000"/>
                <w:sz w:val="16"/>
                <w:szCs w:val="16"/>
                <w:lang w:val="id-ID"/>
              </w:rPr>
              <w:t>[0.473; 0.700]</w:t>
            </w:r>
          </w:p>
        </w:tc>
        <w:tc>
          <w:tcPr>
            <w:tcW w:w="1006" w:type="dxa"/>
            <w:tcMar>
              <w:top w:w="150" w:type="dxa"/>
              <w:left w:w="240" w:type="dxa"/>
              <w:bottom w:w="150" w:type="dxa"/>
              <w:right w:w="0" w:type="dxa"/>
            </w:tcMar>
            <w:vAlign w:val="center"/>
            <w:hideMark/>
          </w:tcPr>
          <w:p w:rsidR="00F37199" w:rsidRPr="006B0C84" w:rsidRDefault="00CB6AA0" w:rsidP="00846953">
            <w:pPr>
              <w:jc w:val="both"/>
              <w:rPr>
                <w:rFonts w:ascii="Cambria" w:eastAsia="Cambria" w:hAnsi="Cambria" w:cs="Cambria"/>
                <w:bCs/>
                <w:color w:val="000000"/>
                <w:sz w:val="16"/>
                <w:szCs w:val="16"/>
                <w:lang w:val="id-ID"/>
              </w:rPr>
            </w:pPr>
            <w:r w:rsidRPr="006B0C84">
              <w:rPr>
                <w:rFonts w:ascii="Cambria" w:eastAsia="Cambria" w:hAnsi="Cambria" w:cs="Cambria"/>
                <w:bCs/>
                <w:color w:val="000000"/>
                <w:sz w:val="16"/>
                <w:szCs w:val="16"/>
                <w:lang w:val="id-ID"/>
              </w:rPr>
              <w:t>Accepted</w:t>
            </w:r>
          </w:p>
        </w:tc>
      </w:tr>
    </w:tbl>
    <w:p w:rsidR="00F37199" w:rsidRPr="006C623C" w:rsidRDefault="00CB6AA0" w:rsidP="00CB6AA0">
      <w:pPr>
        <w:spacing w:before="120" w:after="60"/>
        <w:jc w:val="both"/>
        <w:rPr>
          <w:rFonts w:ascii="Cambria" w:eastAsia="Cambria" w:hAnsi="Cambria" w:cs="Cambria"/>
          <w:b/>
          <w:bCs/>
          <w:color w:val="000000"/>
          <w:sz w:val="24"/>
          <w:szCs w:val="24"/>
          <w:lang w:val="id-ID"/>
        </w:rPr>
      </w:pPr>
      <w:r w:rsidRPr="006C623C">
        <w:rPr>
          <w:rFonts w:ascii="Cambria" w:eastAsia="Cambria" w:hAnsi="Cambria" w:cs="Cambria"/>
          <w:b/>
          <w:bCs/>
          <w:color w:val="000000"/>
          <w:sz w:val="24"/>
          <w:szCs w:val="24"/>
          <w:lang w:val="id-ID"/>
        </w:rPr>
        <w:t>Coefficient of Determination</w:t>
      </w:r>
    </w:p>
    <w:p w:rsidR="00F37199" w:rsidRPr="006C623C" w:rsidRDefault="00CB6AA0" w:rsidP="000A6DB5">
      <w:pPr>
        <w:spacing w:before="60" w:after="60"/>
        <w:jc w:val="center"/>
        <w:rPr>
          <w:rFonts w:ascii="Cambria" w:eastAsia="Cambria" w:hAnsi="Cambria" w:cs="Cambria"/>
          <w:b/>
          <w:color w:val="000000"/>
          <w:sz w:val="24"/>
          <w:szCs w:val="24"/>
          <w:lang w:val="id-ID"/>
        </w:rPr>
      </w:pPr>
      <w:r w:rsidRPr="006C623C">
        <w:rPr>
          <w:rFonts w:ascii="Cambria" w:eastAsia="Cambria" w:hAnsi="Cambria" w:cs="Cambria"/>
          <w:b/>
          <w:bCs/>
          <w:color w:val="000000"/>
          <w:sz w:val="24"/>
          <w:szCs w:val="24"/>
          <w:lang w:val="id-ID"/>
        </w:rPr>
        <w:t>Table 1</w:t>
      </w:r>
      <w:r>
        <w:rPr>
          <w:rFonts w:ascii="Cambria" w:eastAsia="Cambria" w:hAnsi="Cambria" w:cs="Cambria"/>
          <w:b/>
          <w:bCs/>
          <w:color w:val="000000"/>
          <w:sz w:val="24"/>
          <w:szCs w:val="24"/>
          <w:lang w:val="id-ID"/>
        </w:rPr>
        <w:t>7</w:t>
      </w:r>
      <w:r w:rsidR="000A6DB5">
        <w:rPr>
          <w:rFonts w:ascii="Cambria" w:eastAsia="Cambria" w:hAnsi="Cambria" w:cs="Cambria"/>
          <w:b/>
          <w:bCs/>
          <w:color w:val="000000"/>
          <w:sz w:val="24"/>
          <w:szCs w:val="24"/>
          <w:lang w:val="id-ID"/>
        </w:rPr>
        <w:t>.</w:t>
      </w:r>
      <w:r w:rsidRPr="006C623C">
        <w:rPr>
          <w:rFonts w:ascii="Cambria" w:eastAsia="Cambria" w:hAnsi="Cambria" w:cs="Cambria"/>
          <w:b/>
          <w:color w:val="000000"/>
          <w:sz w:val="24"/>
          <w:szCs w:val="24"/>
          <w:lang w:val="id-ID"/>
        </w:rPr>
        <w:t> </w:t>
      </w:r>
      <w:r w:rsidRPr="00615072">
        <w:rPr>
          <w:rFonts w:ascii="Cambria" w:eastAsia="Cambria" w:hAnsi="Cambria" w:cs="Cambria"/>
          <w:bCs/>
          <w:color w:val="000000"/>
          <w:sz w:val="24"/>
          <w:szCs w:val="24"/>
          <w:lang w:val="id-ID"/>
        </w:rPr>
        <w:t>R² and R² Adjusted Values</w:t>
      </w:r>
    </w:p>
    <w:tbl>
      <w:tblPr>
        <w:tblW w:w="0" w:type="auto"/>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240"/>
        <w:gridCol w:w="964"/>
        <w:gridCol w:w="1564"/>
        <w:gridCol w:w="1811"/>
      </w:tblGrid>
      <w:tr w:rsidR="00460557" w:rsidTr="000A6DB5">
        <w:trPr>
          <w:tblHeader/>
          <w:jc w:val="cent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rsidR="00F37199" w:rsidRPr="000A6DB5" w:rsidRDefault="00CB6AA0" w:rsidP="00846953">
            <w:pPr>
              <w:jc w:val="both"/>
              <w:rPr>
                <w:rFonts w:ascii="Cambria" w:eastAsia="Cambria" w:hAnsi="Cambria" w:cs="Cambria"/>
                <w:b/>
                <w:color w:val="000000"/>
                <w:lang w:val="id-ID"/>
              </w:rPr>
            </w:pPr>
            <w:r w:rsidRPr="000A6DB5">
              <w:rPr>
                <w:rFonts w:ascii="Cambria" w:eastAsia="Cambria" w:hAnsi="Cambria" w:cs="Cambria"/>
                <w:b/>
                <w:color w:val="000000"/>
                <w:lang w:val="id-ID"/>
              </w:rPr>
              <w:t>Endogenous 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
                <w:color w:val="000000"/>
                <w:lang w:val="id-ID"/>
              </w:rPr>
            </w:pPr>
            <w:r w:rsidRPr="000A6DB5">
              <w:rPr>
                <w:rFonts w:ascii="Cambria" w:eastAsia="Cambria" w:hAnsi="Cambria" w:cs="Cambria"/>
                <w:b/>
                <w:color w:val="000000"/>
                <w:lang w:val="id-ID"/>
              </w:rPr>
              <w:t>R²</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
                <w:color w:val="000000"/>
                <w:lang w:val="id-ID"/>
              </w:rPr>
            </w:pPr>
            <w:r w:rsidRPr="000A6DB5">
              <w:rPr>
                <w:rFonts w:ascii="Cambria" w:eastAsia="Cambria" w:hAnsi="Cambria" w:cs="Cambria"/>
                <w:b/>
                <w:color w:val="000000"/>
                <w:lang w:val="id-ID"/>
              </w:rPr>
              <w:t>R² Adjusted</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
                <w:color w:val="000000"/>
                <w:lang w:val="id-ID"/>
              </w:rPr>
            </w:pPr>
            <w:r w:rsidRPr="000A6DB5">
              <w:rPr>
                <w:rFonts w:ascii="Cambria" w:eastAsia="Cambria" w:hAnsi="Cambria" w:cs="Cambria"/>
                <w:b/>
                <w:color w:val="000000"/>
                <w:lang w:val="id-ID"/>
              </w:rPr>
              <w:t>Interpretation</w:t>
            </w:r>
          </w:p>
        </w:tc>
      </w:tr>
      <w:tr w:rsidR="00460557" w:rsidTr="000A6DB5">
        <w:trPr>
          <w:jc w:val="center"/>
        </w:trPr>
        <w:tc>
          <w:tcPr>
            <w:tcW w:w="0" w:type="auto"/>
            <w:tcBorders>
              <w:top w:val="single" w:sz="4" w:space="0" w:color="auto"/>
            </w:tcBorders>
            <w:tcMar>
              <w:top w:w="150" w:type="dxa"/>
              <w:left w:w="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MSME Performance (Y)</w:t>
            </w:r>
          </w:p>
        </w:tc>
        <w:tc>
          <w:tcPr>
            <w:tcW w:w="0" w:type="auto"/>
            <w:tcBorders>
              <w:top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0.327</w:t>
            </w:r>
          </w:p>
        </w:tc>
        <w:tc>
          <w:tcPr>
            <w:tcW w:w="0" w:type="auto"/>
            <w:tcBorders>
              <w:top w:val="single" w:sz="4" w:space="0" w:color="auto"/>
            </w:tcBorders>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0.321</w:t>
            </w:r>
          </w:p>
        </w:tc>
        <w:tc>
          <w:tcPr>
            <w:tcW w:w="0" w:type="auto"/>
            <w:tcBorders>
              <w:top w:val="single" w:sz="4" w:space="0" w:color="auto"/>
            </w:tcBorders>
            <w:tcMar>
              <w:top w:w="150" w:type="dxa"/>
              <w:left w:w="240" w:type="dxa"/>
              <w:bottom w:w="150" w:type="dxa"/>
              <w:right w:w="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Moderate effect</w:t>
            </w:r>
          </w:p>
        </w:tc>
      </w:tr>
    </w:tbl>
    <w:p w:rsidR="00F37199" w:rsidRDefault="00CB6AA0" w:rsidP="000A6DB5">
      <w:pPr>
        <w:spacing w:before="120" w:after="60"/>
        <w:jc w:val="both"/>
        <w:rPr>
          <w:rFonts w:ascii="Cambria" w:eastAsia="Cambria" w:hAnsi="Cambria" w:cs="Cambria"/>
          <w:b/>
          <w:bCs/>
          <w:color w:val="000000"/>
          <w:sz w:val="24"/>
          <w:szCs w:val="24"/>
          <w:lang w:val="id-ID"/>
        </w:rPr>
      </w:pPr>
      <w:r w:rsidRPr="006C623C">
        <w:rPr>
          <w:rFonts w:ascii="Cambria" w:eastAsia="Cambria" w:hAnsi="Cambria" w:cs="Cambria"/>
          <w:b/>
          <w:bCs/>
          <w:color w:val="000000"/>
          <w:sz w:val="24"/>
          <w:szCs w:val="24"/>
          <w:lang w:val="id-ID"/>
        </w:rPr>
        <w:t>Summary of Model Quality Criteria</w:t>
      </w:r>
    </w:p>
    <w:p w:rsidR="00F37199" w:rsidRPr="006C623C" w:rsidRDefault="00CB6AA0" w:rsidP="00CB6AA0">
      <w:pPr>
        <w:spacing w:before="60" w:after="60"/>
        <w:jc w:val="center"/>
        <w:rPr>
          <w:rFonts w:ascii="Cambria" w:eastAsia="Cambria" w:hAnsi="Cambria" w:cs="Cambria"/>
          <w:b/>
          <w:color w:val="000000"/>
          <w:sz w:val="24"/>
          <w:szCs w:val="24"/>
          <w:lang w:val="id-ID"/>
        </w:rPr>
      </w:pPr>
      <w:r w:rsidRPr="006C623C">
        <w:rPr>
          <w:rFonts w:ascii="Cambria" w:eastAsia="Cambria" w:hAnsi="Cambria" w:cs="Cambria"/>
          <w:b/>
          <w:bCs/>
          <w:color w:val="000000"/>
          <w:sz w:val="24"/>
          <w:szCs w:val="24"/>
          <w:lang w:val="id-ID"/>
        </w:rPr>
        <w:t>Table 1</w:t>
      </w:r>
      <w:r>
        <w:rPr>
          <w:rFonts w:ascii="Cambria" w:eastAsia="Cambria" w:hAnsi="Cambria" w:cs="Cambria"/>
          <w:b/>
          <w:bCs/>
          <w:color w:val="000000"/>
          <w:sz w:val="24"/>
          <w:szCs w:val="24"/>
          <w:lang w:val="id-ID"/>
        </w:rPr>
        <w:t>8</w:t>
      </w:r>
      <w:r w:rsidR="000A6DB5">
        <w:rPr>
          <w:rFonts w:ascii="Cambria" w:eastAsia="Cambria" w:hAnsi="Cambria" w:cs="Cambria"/>
          <w:b/>
          <w:bCs/>
          <w:color w:val="000000"/>
          <w:sz w:val="24"/>
          <w:szCs w:val="24"/>
          <w:lang w:val="id-ID"/>
        </w:rPr>
        <w:t>.</w:t>
      </w:r>
      <w:r w:rsidRPr="006C623C">
        <w:rPr>
          <w:rFonts w:ascii="Cambria" w:eastAsia="Cambria" w:hAnsi="Cambria" w:cs="Cambria"/>
          <w:b/>
          <w:color w:val="000000"/>
          <w:sz w:val="24"/>
          <w:szCs w:val="24"/>
          <w:lang w:val="id-ID"/>
        </w:rPr>
        <w:t> </w:t>
      </w:r>
      <w:r w:rsidRPr="00615072">
        <w:rPr>
          <w:rFonts w:ascii="Cambria" w:eastAsia="Cambria" w:hAnsi="Cambria" w:cs="Cambria"/>
          <w:bCs/>
          <w:color w:val="000000"/>
          <w:sz w:val="24"/>
          <w:szCs w:val="24"/>
          <w:lang w:val="id-ID"/>
        </w:rPr>
        <w:t>Complete Model Quality Criteria Summary</w:t>
      </w:r>
    </w:p>
    <w:tbl>
      <w:tblPr>
        <w:tblW w:w="0" w:type="auto"/>
        <w:jc w:val="center"/>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419"/>
        <w:gridCol w:w="2286"/>
        <w:gridCol w:w="1002"/>
        <w:gridCol w:w="1099"/>
        <w:gridCol w:w="1187"/>
      </w:tblGrid>
      <w:tr w:rsidR="00460557" w:rsidTr="006B0C84">
        <w:trPr>
          <w:tblHeader/>
          <w:jc w:val="center"/>
        </w:trPr>
        <w:tc>
          <w:tcPr>
            <w:tcW w:w="1324" w:type="dxa"/>
            <w:tcBorders>
              <w:top w:val="single" w:sz="4" w:space="0" w:color="auto"/>
              <w:bottom w:val="single" w:sz="4" w:space="0" w:color="auto"/>
            </w:tcBorders>
            <w:tcMar>
              <w:top w:w="150" w:type="dxa"/>
              <w:left w:w="0" w:type="dxa"/>
              <w:bottom w:w="150" w:type="dxa"/>
              <w:right w:w="240" w:type="dxa"/>
            </w:tcMar>
            <w:vAlign w:val="center"/>
            <w:hideMark/>
          </w:tcPr>
          <w:p w:rsidR="00F37199" w:rsidRPr="000A6DB5" w:rsidRDefault="00CB6AA0" w:rsidP="000A6DB5">
            <w:pPr>
              <w:jc w:val="center"/>
              <w:rPr>
                <w:rFonts w:ascii="Cambria" w:eastAsia="Cambria" w:hAnsi="Cambria" w:cs="Cambria"/>
                <w:b/>
                <w:color w:val="000000"/>
                <w:lang w:val="id-ID"/>
              </w:rPr>
            </w:pPr>
            <w:r w:rsidRPr="000A6DB5">
              <w:rPr>
                <w:rFonts w:ascii="Cambria" w:eastAsia="Cambria" w:hAnsi="Cambria" w:cs="Cambria"/>
                <w:b/>
                <w:color w:val="000000"/>
                <w:lang w:val="id-ID"/>
              </w:rPr>
              <w:t>No</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F37199" w:rsidRPr="000A6DB5" w:rsidRDefault="00CB6AA0" w:rsidP="000A6DB5">
            <w:pPr>
              <w:jc w:val="center"/>
              <w:rPr>
                <w:rFonts w:ascii="Cambria" w:eastAsia="Cambria" w:hAnsi="Cambria" w:cs="Cambria"/>
                <w:b/>
                <w:color w:val="000000"/>
                <w:lang w:val="id-ID"/>
              </w:rPr>
            </w:pPr>
            <w:r w:rsidRPr="000A6DB5">
              <w:rPr>
                <w:rFonts w:ascii="Cambria" w:eastAsia="Cambria" w:hAnsi="Cambria" w:cs="Cambria"/>
                <w:b/>
                <w:color w:val="000000"/>
                <w:lang w:val="id-ID"/>
              </w:rPr>
              <w:t>Criterion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F37199" w:rsidRPr="000A6DB5" w:rsidRDefault="00CB6AA0" w:rsidP="000A6DB5">
            <w:pPr>
              <w:jc w:val="center"/>
              <w:rPr>
                <w:rFonts w:ascii="Cambria" w:eastAsia="Cambria" w:hAnsi="Cambria" w:cs="Cambria"/>
                <w:b/>
                <w:color w:val="000000"/>
                <w:lang w:val="id-ID"/>
              </w:rPr>
            </w:pPr>
            <w:r w:rsidRPr="000A6DB5">
              <w:rPr>
                <w:rFonts w:ascii="Cambria" w:eastAsia="Cambria" w:hAnsi="Cambria" w:cs="Cambria"/>
                <w:b/>
                <w:color w:val="000000"/>
                <w:lang w:val="id-ID"/>
              </w:rPr>
              <w:t>Value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F37199" w:rsidRPr="000A6DB5" w:rsidRDefault="00CB6AA0" w:rsidP="000A6DB5">
            <w:pPr>
              <w:jc w:val="center"/>
              <w:rPr>
                <w:rFonts w:ascii="Cambria" w:eastAsia="Cambria" w:hAnsi="Cambria" w:cs="Cambria"/>
                <w:b/>
                <w:color w:val="000000"/>
                <w:lang w:val="id-ID"/>
              </w:rPr>
            </w:pPr>
            <w:r w:rsidRPr="000A6DB5">
              <w:rPr>
                <w:rFonts w:ascii="Cambria" w:eastAsia="Cambria" w:hAnsi="Cambria" w:cs="Cambria"/>
                <w:b/>
                <w:color w:val="000000"/>
                <w:lang w:val="id-ID"/>
              </w:rPr>
              <w:t>Cut-off</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rsidR="00F37199" w:rsidRPr="000A6DB5" w:rsidRDefault="00CB6AA0" w:rsidP="000A6DB5">
            <w:pPr>
              <w:jc w:val="center"/>
              <w:rPr>
                <w:rFonts w:ascii="Cambria" w:eastAsia="Cambria" w:hAnsi="Cambria" w:cs="Cambria"/>
                <w:b/>
                <w:color w:val="000000"/>
                <w:lang w:val="id-ID"/>
              </w:rPr>
            </w:pPr>
            <w:r w:rsidRPr="000A6DB5">
              <w:rPr>
                <w:rFonts w:ascii="Cambria" w:eastAsia="Cambria" w:hAnsi="Cambria" w:cs="Cambria"/>
                <w:b/>
                <w:color w:val="000000"/>
                <w:lang w:val="id-ID"/>
              </w:rPr>
              <w:t>Status</w:t>
            </w:r>
          </w:p>
        </w:tc>
      </w:tr>
      <w:tr w:rsidR="00460557" w:rsidTr="006B0C84">
        <w:trPr>
          <w:jc w:val="center"/>
        </w:trPr>
        <w:tc>
          <w:tcPr>
            <w:tcW w:w="1324" w:type="dxa"/>
            <w:tcBorders>
              <w:top w:val="single" w:sz="4" w:space="0" w:color="auto"/>
            </w:tcBorders>
            <w:tcMar>
              <w:top w:w="150" w:type="dxa"/>
              <w:left w:w="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Measurement Model</w:t>
            </w:r>
          </w:p>
        </w:tc>
        <w:tc>
          <w:tcPr>
            <w:tcW w:w="0" w:type="auto"/>
            <w:tcBorders>
              <w:top w:val="single" w:sz="4" w:space="0" w:color="auto"/>
            </w:tcBorders>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lang w:val="id-ID"/>
              </w:rPr>
            </w:pPr>
          </w:p>
        </w:tc>
        <w:tc>
          <w:tcPr>
            <w:tcW w:w="0" w:type="auto"/>
            <w:tcBorders>
              <w:top w:val="single" w:sz="4" w:space="0" w:color="auto"/>
            </w:tcBorders>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lang w:val="id-ID"/>
              </w:rPr>
            </w:pPr>
          </w:p>
        </w:tc>
        <w:tc>
          <w:tcPr>
            <w:tcW w:w="0" w:type="auto"/>
            <w:tcBorders>
              <w:top w:val="single" w:sz="4" w:space="0" w:color="auto"/>
            </w:tcBorders>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lang w:val="id-ID"/>
              </w:rPr>
            </w:pPr>
          </w:p>
        </w:tc>
        <w:tc>
          <w:tcPr>
            <w:tcW w:w="0" w:type="auto"/>
            <w:tcBorders>
              <w:top w:val="single" w:sz="4" w:space="0" w:color="auto"/>
            </w:tcBorders>
            <w:tcMar>
              <w:top w:w="150" w:type="dxa"/>
              <w:left w:w="240" w:type="dxa"/>
              <w:bottom w:w="150" w:type="dxa"/>
              <w:right w:w="0" w:type="dxa"/>
            </w:tcMar>
            <w:vAlign w:val="center"/>
            <w:hideMark/>
          </w:tcPr>
          <w:p w:rsidR="00F37199" w:rsidRPr="000A6DB5" w:rsidRDefault="00F37199" w:rsidP="00846953">
            <w:pPr>
              <w:jc w:val="both"/>
              <w:rPr>
                <w:rFonts w:ascii="Cambria" w:eastAsia="Cambria" w:hAnsi="Cambria" w:cs="Cambria"/>
                <w:bCs/>
                <w:color w:val="000000"/>
                <w:lang w:val="id-ID"/>
              </w:rPr>
            </w:pPr>
          </w:p>
        </w:tc>
      </w:tr>
      <w:tr w:rsidR="00460557" w:rsidTr="006B0C84">
        <w:trPr>
          <w:jc w:val="center"/>
        </w:trPr>
        <w:tc>
          <w:tcPr>
            <w:tcW w:w="1324" w:type="dxa"/>
            <w:tcMar>
              <w:top w:w="150" w:type="dxa"/>
              <w:left w:w="0" w:type="dxa"/>
              <w:bottom w:w="150" w:type="dxa"/>
              <w:right w:w="240" w:type="dxa"/>
            </w:tcMar>
            <w:vAlign w:val="center"/>
            <w:hideMark/>
          </w:tcPr>
          <w:p w:rsidR="00F37199" w:rsidRPr="000A6DB5" w:rsidRDefault="00CB6AA0" w:rsidP="006B0C84">
            <w:pPr>
              <w:jc w:val="center"/>
              <w:rPr>
                <w:rFonts w:ascii="Cambria" w:eastAsia="Cambria" w:hAnsi="Cambria" w:cs="Cambria"/>
                <w:bCs/>
                <w:color w:val="000000"/>
                <w:lang w:val="id-ID"/>
              </w:rPr>
            </w:pPr>
            <w:r w:rsidRPr="000A6DB5">
              <w:rPr>
                <w:rFonts w:ascii="Cambria" w:eastAsia="Cambria" w:hAnsi="Cambria" w:cs="Cambria"/>
                <w:bCs/>
                <w:color w:val="000000"/>
                <w:lang w:val="id-ID"/>
              </w:rPr>
              <w:t>1</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AVE (X)</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0.525</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&gt; 0.50</w:t>
            </w:r>
          </w:p>
        </w:tc>
        <w:tc>
          <w:tcPr>
            <w:tcW w:w="0" w:type="auto"/>
            <w:tcMar>
              <w:top w:w="150" w:type="dxa"/>
              <w:left w:w="240" w:type="dxa"/>
              <w:bottom w:w="150" w:type="dxa"/>
              <w:right w:w="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 xml:space="preserve"> Satisfied</w:t>
            </w:r>
          </w:p>
        </w:tc>
      </w:tr>
      <w:tr w:rsidR="00460557" w:rsidTr="006B0C84">
        <w:trPr>
          <w:jc w:val="center"/>
        </w:trPr>
        <w:tc>
          <w:tcPr>
            <w:tcW w:w="1324" w:type="dxa"/>
            <w:tcMar>
              <w:top w:w="150" w:type="dxa"/>
              <w:left w:w="0" w:type="dxa"/>
              <w:bottom w:w="150" w:type="dxa"/>
              <w:right w:w="240" w:type="dxa"/>
            </w:tcMar>
            <w:vAlign w:val="center"/>
            <w:hideMark/>
          </w:tcPr>
          <w:p w:rsidR="00F37199" w:rsidRPr="000A6DB5" w:rsidRDefault="00CB6AA0" w:rsidP="006B0C84">
            <w:pPr>
              <w:jc w:val="center"/>
              <w:rPr>
                <w:rFonts w:ascii="Cambria" w:eastAsia="Cambria" w:hAnsi="Cambria" w:cs="Cambria"/>
                <w:bCs/>
                <w:color w:val="000000"/>
                <w:lang w:val="id-ID"/>
              </w:rPr>
            </w:pPr>
            <w:r w:rsidRPr="000A6DB5">
              <w:rPr>
                <w:rFonts w:ascii="Cambria" w:eastAsia="Cambria" w:hAnsi="Cambria" w:cs="Cambria"/>
                <w:bCs/>
                <w:color w:val="000000"/>
                <w:lang w:val="id-ID"/>
              </w:rPr>
              <w:t>2</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AVE (Y)</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0.568</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&gt; 0.50</w:t>
            </w:r>
          </w:p>
        </w:tc>
        <w:tc>
          <w:tcPr>
            <w:tcW w:w="0" w:type="auto"/>
            <w:tcMar>
              <w:top w:w="150" w:type="dxa"/>
              <w:left w:w="240" w:type="dxa"/>
              <w:bottom w:w="150" w:type="dxa"/>
              <w:right w:w="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 xml:space="preserve"> Satisfied</w:t>
            </w:r>
          </w:p>
        </w:tc>
      </w:tr>
      <w:tr w:rsidR="00460557" w:rsidTr="006B0C84">
        <w:trPr>
          <w:jc w:val="center"/>
        </w:trPr>
        <w:tc>
          <w:tcPr>
            <w:tcW w:w="1324" w:type="dxa"/>
            <w:tcMar>
              <w:top w:w="150" w:type="dxa"/>
              <w:left w:w="0" w:type="dxa"/>
              <w:bottom w:w="150" w:type="dxa"/>
              <w:right w:w="240" w:type="dxa"/>
            </w:tcMar>
            <w:vAlign w:val="center"/>
            <w:hideMark/>
          </w:tcPr>
          <w:p w:rsidR="00F37199" w:rsidRPr="000A6DB5" w:rsidRDefault="00CB6AA0" w:rsidP="006B0C84">
            <w:pPr>
              <w:jc w:val="center"/>
              <w:rPr>
                <w:rFonts w:ascii="Cambria" w:eastAsia="Cambria" w:hAnsi="Cambria" w:cs="Cambria"/>
                <w:bCs/>
                <w:color w:val="000000"/>
                <w:lang w:val="id-ID"/>
              </w:rPr>
            </w:pPr>
            <w:r w:rsidRPr="000A6DB5">
              <w:rPr>
                <w:rFonts w:ascii="Cambria" w:eastAsia="Cambria" w:hAnsi="Cambria" w:cs="Cambria"/>
                <w:bCs/>
                <w:color w:val="000000"/>
                <w:lang w:val="id-ID"/>
              </w:rPr>
              <w:t>3</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CR (X)</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0.935</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&gt; 0.70</w:t>
            </w:r>
          </w:p>
        </w:tc>
        <w:tc>
          <w:tcPr>
            <w:tcW w:w="0" w:type="auto"/>
            <w:tcMar>
              <w:top w:w="150" w:type="dxa"/>
              <w:left w:w="240" w:type="dxa"/>
              <w:bottom w:w="150" w:type="dxa"/>
              <w:right w:w="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Satisfied</w:t>
            </w:r>
          </w:p>
        </w:tc>
      </w:tr>
      <w:tr w:rsidR="00460557" w:rsidTr="006B0C84">
        <w:trPr>
          <w:jc w:val="center"/>
        </w:trPr>
        <w:tc>
          <w:tcPr>
            <w:tcW w:w="1324" w:type="dxa"/>
            <w:tcMar>
              <w:top w:w="150" w:type="dxa"/>
              <w:left w:w="0" w:type="dxa"/>
              <w:bottom w:w="150" w:type="dxa"/>
              <w:right w:w="240" w:type="dxa"/>
            </w:tcMar>
            <w:vAlign w:val="center"/>
            <w:hideMark/>
          </w:tcPr>
          <w:p w:rsidR="00F37199" w:rsidRPr="000A6DB5" w:rsidRDefault="00CB6AA0" w:rsidP="006B0C84">
            <w:pPr>
              <w:jc w:val="center"/>
              <w:rPr>
                <w:rFonts w:ascii="Cambria" w:eastAsia="Cambria" w:hAnsi="Cambria" w:cs="Cambria"/>
                <w:bCs/>
                <w:color w:val="000000"/>
                <w:lang w:val="id-ID"/>
              </w:rPr>
            </w:pPr>
            <w:r w:rsidRPr="000A6DB5">
              <w:rPr>
                <w:rFonts w:ascii="Cambria" w:eastAsia="Cambria" w:hAnsi="Cambria" w:cs="Cambria"/>
                <w:bCs/>
                <w:color w:val="000000"/>
                <w:lang w:val="id-ID"/>
              </w:rPr>
              <w:t>4</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CR (Y)</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0.952</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&gt; 0.70</w:t>
            </w:r>
          </w:p>
        </w:tc>
        <w:tc>
          <w:tcPr>
            <w:tcW w:w="0" w:type="auto"/>
            <w:tcMar>
              <w:top w:w="150" w:type="dxa"/>
              <w:left w:w="240" w:type="dxa"/>
              <w:bottom w:w="150" w:type="dxa"/>
              <w:right w:w="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 xml:space="preserve"> Satisfied</w:t>
            </w:r>
          </w:p>
        </w:tc>
      </w:tr>
      <w:tr w:rsidR="00460557" w:rsidTr="006B0C84">
        <w:trPr>
          <w:jc w:val="center"/>
        </w:trPr>
        <w:tc>
          <w:tcPr>
            <w:tcW w:w="1324" w:type="dxa"/>
            <w:tcMar>
              <w:top w:w="150" w:type="dxa"/>
              <w:left w:w="0" w:type="dxa"/>
              <w:bottom w:w="150" w:type="dxa"/>
              <w:right w:w="240" w:type="dxa"/>
            </w:tcMar>
            <w:vAlign w:val="center"/>
            <w:hideMark/>
          </w:tcPr>
          <w:p w:rsidR="00F37199" w:rsidRPr="000A6DB5" w:rsidRDefault="00CB6AA0" w:rsidP="006B0C84">
            <w:pPr>
              <w:jc w:val="center"/>
              <w:rPr>
                <w:rFonts w:ascii="Cambria" w:eastAsia="Cambria" w:hAnsi="Cambria" w:cs="Cambria"/>
                <w:bCs/>
                <w:color w:val="000000"/>
                <w:lang w:val="id-ID"/>
              </w:rPr>
            </w:pPr>
            <w:r w:rsidRPr="000A6DB5">
              <w:rPr>
                <w:rFonts w:ascii="Cambria" w:eastAsia="Cambria" w:hAnsi="Cambria" w:cs="Cambria"/>
                <w:bCs/>
                <w:color w:val="000000"/>
                <w:lang w:val="id-ID"/>
              </w:rPr>
              <w:t>5</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Cronbach's Alpha (X)</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0.925</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&gt; 0.70</w:t>
            </w:r>
          </w:p>
        </w:tc>
        <w:tc>
          <w:tcPr>
            <w:tcW w:w="0" w:type="auto"/>
            <w:tcMar>
              <w:top w:w="150" w:type="dxa"/>
              <w:left w:w="240" w:type="dxa"/>
              <w:bottom w:w="150" w:type="dxa"/>
              <w:right w:w="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Satisfied</w:t>
            </w:r>
          </w:p>
        </w:tc>
      </w:tr>
      <w:tr w:rsidR="00460557" w:rsidTr="006B0C84">
        <w:trPr>
          <w:jc w:val="center"/>
        </w:trPr>
        <w:tc>
          <w:tcPr>
            <w:tcW w:w="1324" w:type="dxa"/>
            <w:tcMar>
              <w:top w:w="150" w:type="dxa"/>
              <w:left w:w="0" w:type="dxa"/>
              <w:bottom w:w="150" w:type="dxa"/>
              <w:right w:w="240" w:type="dxa"/>
            </w:tcMar>
            <w:vAlign w:val="center"/>
            <w:hideMark/>
          </w:tcPr>
          <w:p w:rsidR="00F37199" w:rsidRPr="000A6DB5" w:rsidRDefault="00CB6AA0" w:rsidP="006B0C84">
            <w:pPr>
              <w:jc w:val="center"/>
              <w:rPr>
                <w:rFonts w:ascii="Cambria" w:eastAsia="Cambria" w:hAnsi="Cambria" w:cs="Cambria"/>
                <w:bCs/>
                <w:color w:val="000000"/>
                <w:lang w:val="id-ID"/>
              </w:rPr>
            </w:pPr>
            <w:r w:rsidRPr="000A6DB5">
              <w:rPr>
                <w:rFonts w:ascii="Cambria" w:eastAsia="Cambria" w:hAnsi="Cambria" w:cs="Cambria"/>
                <w:bCs/>
                <w:color w:val="000000"/>
                <w:lang w:val="id-ID"/>
              </w:rPr>
              <w:t>6</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Cronbach's Alpha (Y)</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0.946</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&gt; 0.70</w:t>
            </w:r>
          </w:p>
        </w:tc>
        <w:tc>
          <w:tcPr>
            <w:tcW w:w="0" w:type="auto"/>
            <w:tcMar>
              <w:top w:w="150" w:type="dxa"/>
              <w:left w:w="240" w:type="dxa"/>
              <w:bottom w:w="150" w:type="dxa"/>
              <w:right w:w="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Satisfied</w:t>
            </w:r>
          </w:p>
        </w:tc>
      </w:tr>
      <w:tr w:rsidR="00460557" w:rsidTr="006B0C84">
        <w:trPr>
          <w:jc w:val="center"/>
        </w:trPr>
        <w:tc>
          <w:tcPr>
            <w:tcW w:w="1324" w:type="dxa"/>
            <w:tcMar>
              <w:top w:w="150" w:type="dxa"/>
              <w:left w:w="0" w:type="dxa"/>
              <w:bottom w:w="150" w:type="dxa"/>
              <w:right w:w="240" w:type="dxa"/>
            </w:tcMar>
            <w:vAlign w:val="center"/>
            <w:hideMark/>
          </w:tcPr>
          <w:p w:rsidR="00F37199" w:rsidRPr="000A6DB5" w:rsidRDefault="00CB6AA0" w:rsidP="006B0C84">
            <w:pPr>
              <w:jc w:val="center"/>
              <w:rPr>
                <w:rFonts w:ascii="Cambria" w:eastAsia="Cambria" w:hAnsi="Cambria" w:cs="Cambria"/>
                <w:bCs/>
                <w:color w:val="000000"/>
                <w:lang w:val="id-ID"/>
              </w:rPr>
            </w:pPr>
            <w:r w:rsidRPr="000A6DB5">
              <w:rPr>
                <w:rFonts w:ascii="Cambria" w:eastAsia="Cambria" w:hAnsi="Cambria" w:cs="Cambria"/>
                <w:bCs/>
                <w:color w:val="000000"/>
                <w:lang w:val="id-ID"/>
              </w:rPr>
              <w:t>7</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HTMT (X↔Y)</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0.584</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&lt; 0.90</w:t>
            </w:r>
          </w:p>
        </w:tc>
        <w:tc>
          <w:tcPr>
            <w:tcW w:w="0" w:type="auto"/>
            <w:tcMar>
              <w:top w:w="150" w:type="dxa"/>
              <w:left w:w="240" w:type="dxa"/>
              <w:bottom w:w="150" w:type="dxa"/>
              <w:right w:w="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Satisfied</w:t>
            </w:r>
          </w:p>
        </w:tc>
      </w:tr>
      <w:tr w:rsidR="00460557" w:rsidTr="006B0C84">
        <w:trPr>
          <w:jc w:val="center"/>
        </w:trPr>
        <w:tc>
          <w:tcPr>
            <w:tcW w:w="1324" w:type="dxa"/>
            <w:tcMar>
              <w:top w:w="150" w:type="dxa"/>
              <w:left w:w="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Structural Model</w:t>
            </w:r>
          </w:p>
        </w:tc>
        <w:tc>
          <w:tcPr>
            <w:tcW w:w="0" w:type="auto"/>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lang w:val="id-ID"/>
              </w:rPr>
            </w:pPr>
          </w:p>
        </w:tc>
        <w:tc>
          <w:tcPr>
            <w:tcW w:w="0" w:type="auto"/>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lang w:val="id-ID"/>
              </w:rPr>
            </w:pPr>
          </w:p>
        </w:tc>
        <w:tc>
          <w:tcPr>
            <w:tcW w:w="0" w:type="auto"/>
            <w:tcMar>
              <w:top w:w="150" w:type="dxa"/>
              <w:left w:w="240" w:type="dxa"/>
              <w:bottom w:w="150" w:type="dxa"/>
              <w:right w:w="240" w:type="dxa"/>
            </w:tcMar>
            <w:vAlign w:val="center"/>
            <w:hideMark/>
          </w:tcPr>
          <w:p w:rsidR="00F37199" w:rsidRPr="000A6DB5" w:rsidRDefault="00F37199" w:rsidP="00846953">
            <w:pPr>
              <w:jc w:val="both"/>
              <w:rPr>
                <w:rFonts w:ascii="Cambria" w:eastAsia="Cambria" w:hAnsi="Cambria" w:cs="Cambria"/>
                <w:bCs/>
                <w:color w:val="000000"/>
                <w:lang w:val="id-ID"/>
              </w:rPr>
            </w:pPr>
          </w:p>
        </w:tc>
        <w:tc>
          <w:tcPr>
            <w:tcW w:w="0" w:type="auto"/>
            <w:tcMar>
              <w:top w:w="150" w:type="dxa"/>
              <w:left w:w="240" w:type="dxa"/>
              <w:bottom w:w="150" w:type="dxa"/>
              <w:right w:w="0" w:type="dxa"/>
            </w:tcMar>
            <w:vAlign w:val="center"/>
            <w:hideMark/>
          </w:tcPr>
          <w:p w:rsidR="00F37199" w:rsidRPr="000A6DB5" w:rsidRDefault="00F37199" w:rsidP="00846953">
            <w:pPr>
              <w:jc w:val="both"/>
              <w:rPr>
                <w:rFonts w:ascii="Cambria" w:eastAsia="Cambria" w:hAnsi="Cambria" w:cs="Cambria"/>
                <w:bCs/>
                <w:color w:val="000000"/>
                <w:lang w:val="id-ID"/>
              </w:rPr>
            </w:pPr>
          </w:p>
        </w:tc>
      </w:tr>
      <w:tr w:rsidR="00460557" w:rsidTr="006B0C84">
        <w:trPr>
          <w:jc w:val="center"/>
        </w:trPr>
        <w:tc>
          <w:tcPr>
            <w:tcW w:w="1324" w:type="dxa"/>
            <w:tcMar>
              <w:top w:w="150" w:type="dxa"/>
              <w:left w:w="0" w:type="dxa"/>
              <w:bottom w:w="150" w:type="dxa"/>
              <w:right w:w="240" w:type="dxa"/>
            </w:tcMar>
            <w:vAlign w:val="center"/>
            <w:hideMark/>
          </w:tcPr>
          <w:p w:rsidR="00F37199" w:rsidRPr="000A6DB5" w:rsidRDefault="00CB6AA0" w:rsidP="006B0C84">
            <w:pPr>
              <w:jc w:val="center"/>
              <w:rPr>
                <w:rFonts w:ascii="Cambria" w:eastAsia="Cambria" w:hAnsi="Cambria" w:cs="Cambria"/>
                <w:bCs/>
                <w:color w:val="000000"/>
                <w:lang w:val="id-ID"/>
              </w:rPr>
            </w:pPr>
            <w:r w:rsidRPr="000A6DB5">
              <w:rPr>
                <w:rFonts w:ascii="Cambria" w:eastAsia="Cambria" w:hAnsi="Cambria" w:cs="Cambria"/>
                <w:bCs/>
                <w:color w:val="000000"/>
                <w:lang w:val="id-ID"/>
              </w:rPr>
              <w:lastRenderedPageBreak/>
              <w:t>8</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R² (Y)</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0.327</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&gt; 0.10</w:t>
            </w:r>
          </w:p>
        </w:tc>
        <w:tc>
          <w:tcPr>
            <w:tcW w:w="0" w:type="auto"/>
            <w:tcMar>
              <w:top w:w="150" w:type="dxa"/>
              <w:left w:w="240" w:type="dxa"/>
              <w:bottom w:w="150" w:type="dxa"/>
              <w:right w:w="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Satisfied</w:t>
            </w:r>
          </w:p>
        </w:tc>
      </w:tr>
      <w:tr w:rsidR="00460557" w:rsidTr="006B0C84">
        <w:trPr>
          <w:jc w:val="center"/>
        </w:trPr>
        <w:tc>
          <w:tcPr>
            <w:tcW w:w="1324" w:type="dxa"/>
            <w:tcMar>
              <w:top w:w="150" w:type="dxa"/>
              <w:left w:w="0" w:type="dxa"/>
              <w:bottom w:w="150" w:type="dxa"/>
              <w:right w:w="240" w:type="dxa"/>
            </w:tcMar>
            <w:vAlign w:val="center"/>
            <w:hideMark/>
          </w:tcPr>
          <w:p w:rsidR="00F37199" w:rsidRPr="000A6DB5" w:rsidRDefault="00CB6AA0" w:rsidP="006B0C84">
            <w:pPr>
              <w:jc w:val="center"/>
              <w:rPr>
                <w:rFonts w:ascii="Cambria" w:eastAsia="Cambria" w:hAnsi="Cambria" w:cs="Cambria"/>
                <w:bCs/>
                <w:color w:val="000000"/>
                <w:lang w:val="id-ID"/>
              </w:rPr>
            </w:pPr>
            <w:r w:rsidRPr="000A6DB5">
              <w:rPr>
                <w:rFonts w:ascii="Cambria" w:eastAsia="Cambria" w:hAnsi="Cambria" w:cs="Cambria"/>
                <w:bCs/>
                <w:color w:val="000000"/>
                <w:lang w:val="id-ID"/>
              </w:rPr>
              <w:t>9</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Path Coefficient (β)</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0.572</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&gt; 0</w:t>
            </w:r>
          </w:p>
        </w:tc>
        <w:tc>
          <w:tcPr>
            <w:tcW w:w="0" w:type="auto"/>
            <w:tcMar>
              <w:top w:w="150" w:type="dxa"/>
              <w:left w:w="240" w:type="dxa"/>
              <w:bottom w:w="150" w:type="dxa"/>
              <w:right w:w="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Positive</w:t>
            </w:r>
          </w:p>
        </w:tc>
      </w:tr>
      <w:tr w:rsidR="00460557" w:rsidTr="006B0C84">
        <w:trPr>
          <w:jc w:val="center"/>
        </w:trPr>
        <w:tc>
          <w:tcPr>
            <w:tcW w:w="1324" w:type="dxa"/>
            <w:tcMar>
              <w:top w:w="150" w:type="dxa"/>
              <w:left w:w="0" w:type="dxa"/>
              <w:bottom w:w="150" w:type="dxa"/>
              <w:right w:w="240" w:type="dxa"/>
            </w:tcMar>
            <w:vAlign w:val="center"/>
            <w:hideMark/>
          </w:tcPr>
          <w:p w:rsidR="00F37199" w:rsidRPr="000A6DB5" w:rsidRDefault="00CB6AA0" w:rsidP="006B0C84">
            <w:pPr>
              <w:jc w:val="center"/>
              <w:rPr>
                <w:rFonts w:ascii="Cambria" w:eastAsia="Cambria" w:hAnsi="Cambria" w:cs="Cambria"/>
                <w:bCs/>
                <w:color w:val="000000"/>
                <w:lang w:val="id-ID"/>
              </w:rPr>
            </w:pPr>
            <w:r w:rsidRPr="000A6DB5">
              <w:rPr>
                <w:rFonts w:ascii="Cambria" w:eastAsia="Cambria" w:hAnsi="Cambria" w:cs="Cambria"/>
                <w:bCs/>
                <w:color w:val="000000"/>
                <w:lang w:val="id-ID"/>
              </w:rPr>
              <w:t>10</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T-Statistic</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9.938</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&gt; 1.96</w:t>
            </w:r>
          </w:p>
        </w:tc>
        <w:tc>
          <w:tcPr>
            <w:tcW w:w="0" w:type="auto"/>
            <w:tcMar>
              <w:top w:w="150" w:type="dxa"/>
              <w:left w:w="240" w:type="dxa"/>
              <w:bottom w:w="150" w:type="dxa"/>
              <w:right w:w="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Significant</w:t>
            </w:r>
          </w:p>
        </w:tc>
      </w:tr>
      <w:tr w:rsidR="00460557" w:rsidTr="006B0C84">
        <w:trPr>
          <w:jc w:val="center"/>
        </w:trPr>
        <w:tc>
          <w:tcPr>
            <w:tcW w:w="1324" w:type="dxa"/>
            <w:tcMar>
              <w:top w:w="150" w:type="dxa"/>
              <w:left w:w="0" w:type="dxa"/>
              <w:bottom w:w="150" w:type="dxa"/>
              <w:right w:w="240" w:type="dxa"/>
            </w:tcMar>
            <w:vAlign w:val="center"/>
            <w:hideMark/>
          </w:tcPr>
          <w:p w:rsidR="00F37199" w:rsidRPr="000A6DB5" w:rsidRDefault="00CB6AA0" w:rsidP="006B0C84">
            <w:pPr>
              <w:jc w:val="center"/>
              <w:rPr>
                <w:rFonts w:ascii="Cambria" w:eastAsia="Cambria" w:hAnsi="Cambria" w:cs="Cambria"/>
                <w:bCs/>
                <w:color w:val="000000"/>
                <w:lang w:val="id-ID"/>
              </w:rPr>
            </w:pPr>
            <w:r w:rsidRPr="000A6DB5">
              <w:rPr>
                <w:rFonts w:ascii="Cambria" w:eastAsia="Cambria" w:hAnsi="Cambria" w:cs="Cambria"/>
                <w:bCs/>
                <w:color w:val="000000"/>
                <w:lang w:val="id-ID"/>
              </w:rPr>
              <w:t>11</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P-Value</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0.000</w:t>
            </w:r>
          </w:p>
        </w:tc>
        <w:tc>
          <w:tcPr>
            <w:tcW w:w="0" w:type="auto"/>
            <w:tcMar>
              <w:top w:w="150" w:type="dxa"/>
              <w:left w:w="240" w:type="dxa"/>
              <w:bottom w:w="150" w:type="dxa"/>
              <w:right w:w="24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&lt; 0.05</w:t>
            </w:r>
          </w:p>
        </w:tc>
        <w:tc>
          <w:tcPr>
            <w:tcW w:w="0" w:type="auto"/>
            <w:tcMar>
              <w:top w:w="150" w:type="dxa"/>
              <w:left w:w="240" w:type="dxa"/>
              <w:bottom w:w="150" w:type="dxa"/>
              <w:right w:w="0" w:type="dxa"/>
            </w:tcMar>
            <w:vAlign w:val="center"/>
            <w:hideMark/>
          </w:tcPr>
          <w:p w:rsidR="00F37199" w:rsidRPr="000A6DB5" w:rsidRDefault="00CB6AA0" w:rsidP="00846953">
            <w:pPr>
              <w:jc w:val="both"/>
              <w:rPr>
                <w:rFonts w:ascii="Cambria" w:eastAsia="Cambria" w:hAnsi="Cambria" w:cs="Cambria"/>
                <w:bCs/>
                <w:color w:val="000000"/>
                <w:lang w:val="id-ID"/>
              </w:rPr>
            </w:pPr>
            <w:r w:rsidRPr="000A6DB5">
              <w:rPr>
                <w:rFonts w:ascii="Cambria" w:eastAsia="Cambria" w:hAnsi="Cambria" w:cs="Cambria"/>
                <w:bCs/>
                <w:color w:val="000000"/>
                <w:lang w:val="id-ID"/>
              </w:rPr>
              <w:t xml:space="preserve"> Significant</w:t>
            </w:r>
          </w:p>
        </w:tc>
      </w:tr>
    </w:tbl>
    <w:p w:rsidR="00F37199" w:rsidRPr="006C623C" w:rsidRDefault="000F64A5" w:rsidP="006B0C84">
      <w:pPr>
        <w:spacing w:before="120" w:after="60"/>
        <w:jc w:val="both"/>
        <w:rPr>
          <w:rFonts w:ascii="Cambria" w:eastAsia="Cambria" w:hAnsi="Cambria" w:cs="Cambria"/>
          <w:b/>
          <w:bCs/>
          <w:color w:val="000000"/>
          <w:sz w:val="24"/>
          <w:szCs w:val="24"/>
          <w:lang w:val="id-ID"/>
        </w:rPr>
      </w:pPr>
      <w:r>
        <w:rPr>
          <w:noProof/>
          <w:lang w:val="en-US" w:eastAsia="en-US"/>
        </w:rPr>
        <w:drawing>
          <wp:anchor distT="0" distB="0" distL="114300" distR="114300" simplePos="0" relativeHeight="251658240" behindDoc="0" locked="0" layoutInCell="1" allowOverlap="1">
            <wp:simplePos x="0" y="0"/>
            <wp:positionH relativeFrom="margin">
              <wp:align>center</wp:align>
            </wp:positionH>
            <wp:positionV relativeFrom="paragraph">
              <wp:posOffset>414655</wp:posOffset>
            </wp:positionV>
            <wp:extent cx="4808220" cy="4665345"/>
            <wp:effectExtent l="0" t="0" r="0" b="1905"/>
            <wp:wrapTopAndBottom/>
            <wp:docPr id="160567948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679485" name="Picture 8"/>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4808220" cy="4665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6AA0" w:rsidRPr="006C623C">
        <w:rPr>
          <w:rFonts w:ascii="Cambria" w:eastAsia="Cambria" w:hAnsi="Cambria" w:cs="Cambria"/>
          <w:b/>
          <w:bCs/>
          <w:color w:val="000000"/>
          <w:sz w:val="24"/>
          <w:szCs w:val="24"/>
          <w:lang w:val="id-ID"/>
        </w:rPr>
        <w:t>PLS-SEM OUTPUT DIAGRAMS</w:t>
      </w:r>
    </w:p>
    <w:p w:rsidR="000F64A5" w:rsidRDefault="000F64A5" w:rsidP="006B0C84">
      <w:pPr>
        <w:spacing w:before="60" w:after="60"/>
        <w:jc w:val="both"/>
        <w:rPr>
          <w:rFonts w:ascii="Cambria" w:eastAsia="Cambria" w:hAnsi="Cambria" w:cs="Cambria"/>
          <w:b/>
          <w:bCs/>
          <w:color w:val="000000"/>
          <w:sz w:val="24"/>
          <w:szCs w:val="24"/>
          <w:lang w:val="id-ID"/>
        </w:rPr>
      </w:pPr>
    </w:p>
    <w:p w:rsidR="00CB6AA0" w:rsidRDefault="00CB6AA0" w:rsidP="000F64A5">
      <w:pPr>
        <w:spacing w:before="60" w:after="60"/>
        <w:jc w:val="center"/>
        <w:rPr>
          <w:rFonts w:ascii="Cambria" w:eastAsia="Cambria" w:hAnsi="Cambria" w:cs="Cambria"/>
          <w:b/>
          <w:bCs/>
          <w:color w:val="000000"/>
          <w:sz w:val="24"/>
          <w:szCs w:val="24"/>
          <w:lang w:val="id-ID"/>
        </w:rPr>
      </w:pPr>
      <w:r w:rsidRPr="006C623C">
        <w:rPr>
          <w:rFonts w:ascii="Cambria" w:eastAsia="Cambria" w:hAnsi="Cambria" w:cs="Cambria"/>
          <w:b/>
          <w:bCs/>
          <w:color w:val="000000"/>
          <w:sz w:val="24"/>
          <w:szCs w:val="24"/>
          <w:lang w:val="id-ID"/>
        </w:rPr>
        <w:t xml:space="preserve">Figure </w:t>
      </w:r>
      <w:r>
        <w:rPr>
          <w:rFonts w:ascii="Cambria" w:eastAsia="Cambria" w:hAnsi="Cambria" w:cs="Cambria"/>
          <w:b/>
          <w:bCs/>
          <w:color w:val="000000"/>
          <w:sz w:val="24"/>
          <w:szCs w:val="24"/>
          <w:lang w:val="id-ID"/>
        </w:rPr>
        <w:t>1</w:t>
      </w:r>
      <w:r w:rsidRPr="006C623C">
        <w:rPr>
          <w:rFonts w:ascii="Cambria" w:eastAsia="Cambria" w:hAnsi="Cambria" w:cs="Cambria"/>
          <w:b/>
          <w:bCs/>
          <w:color w:val="000000"/>
          <w:sz w:val="24"/>
          <w:szCs w:val="24"/>
          <w:lang w:val="id-ID"/>
        </w:rPr>
        <w:t xml:space="preserve">. </w:t>
      </w:r>
      <w:r w:rsidRPr="000F64A5">
        <w:rPr>
          <w:rFonts w:ascii="Cambria" w:eastAsia="Cambria" w:hAnsi="Cambria" w:cs="Cambria"/>
          <w:bCs/>
          <w:color w:val="000000"/>
          <w:sz w:val="24"/>
          <w:szCs w:val="24"/>
          <w:lang w:val="id-ID"/>
        </w:rPr>
        <w:t>PLS-SEM Path Diagram – Outer Model (Measurement Model)</w:t>
      </w:r>
    </w:p>
    <w:p w:rsidR="00480C33" w:rsidRDefault="00480C33" w:rsidP="006B0C84">
      <w:pPr>
        <w:spacing w:before="60" w:after="60"/>
        <w:jc w:val="both"/>
        <w:rPr>
          <w:rFonts w:ascii="Cambria" w:eastAsia="Cambria" w:hAnsi="Cambria" w:cs="Cambria"/>
          <w:b/>
          <w:bCs/>
          <w:color w:val="000000"/>
          <w:sz w:val="24"/>
          <w:szCs w:val="24"/>
          <w:lang w:val="id-ID"/>
        </w:rPr>
      </w:pPr>
    </w:p>
    <w:p w:rsidR="00F37199" w:rsidRDefault="00CB6AA0" w:rsidP="00F37199">
      <w:pPr>
        <w:jc w:val="center"/>
        <w:rPr>
          <w:rFonts w:ascii="Cambria" w:eastAsia="Cambria" w:hAnsi="Cambria" w:cs="Cambria"/>
          <w:color w:val="000000"/>
          <w:sz w:val="24"/>
          <w:szCs w:val="24"/>
          <w:lang w:val="id-ID"/>
        </w:rPr>
      </w:pPr>
      <w:r>
        <w:rPr>
          <w:noProof/>
          <w:lang w:val="en-US" w:eastAsia="en-US"/>
        </w:rPr>
        <w:lastRenderedPageBreak/>
        <w:drawing>
          <wp:anchor distT="0" distB="0" distL="114300" distR="114300" simplePos="0" relativeHeight="251659264" behindDoc="0" locked="0" layoutInCell="1" allowOverlap="1">
            <wp:simplePos x="0" y="0"/>
            <wp:positionH relativeFrom="margin">
              <wp:align>center</wp:align>
            </wp:positionH>
            <wp:positionV relativeFrom="paragraph">
              <wp:posOffset>53340</wp:posOffset>
            </wp:positionV>
            <wp:extent cx="4809600" cy="4944819"/>
            <wp:effectExtent l="0" t="0" r="0" b="8255"/>
            <wp:wrapTopAndBottom/>
            <wp:docPr id="152251444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514447" name="Picture 4"/>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4809600" cy="494481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80C33" w:rsidRDefault="00480C33" w:rsidP="000F64A5">
      <w:pPr>
        <w:spacing w:before="60" w:after="60"/>
        <w:jc w:val="center"/>
        <w:rPr>
          <w:rFonts w:ascii="Cambria" w:eastAsia="Cambria" w:hAnsi="Cambria" w:cs="Cambria"/>
          <w:b/>
          <w:bCs/>
          <w:color w:val="000000"/>
          <w:sz w:val="24"/>
          <w:szCs w:val="24"/>
          <w:lang w:val="id-ID"/>
        </w:rPr>
      </w:pPr>
      <w:r w:rsidRPr="006C623C">
        <w:rPr>
          <w:rFonts w:ascii="Cambria" w:eastAsia="Cambria" w:hAnsi="Cambria" w:cs="Cambria"/>
          <w:b/>
          <w:bCs/>
          <w:color w:val="000000"/>
          <w:sz w:val="24"/>
          <w:szCs w:val="24"/>
          <w:lang w:val="id-ID"/>
        </w:rPr>
        <w:t xml:space="preserve">Figure </w:t>
      </w:r>
      <w:r>
        <w:rPr>
          <w:rFonts w:ascii="Cambria" w:eastAsia="Cambria" w:hAnsi="Cambria" w:cs="Cambria"/>
          <w:b/>
          <w:bCs/>
          <w:color w:val="000000"/>
          <w:sz w:val="24"/>
          <w:szCs w:val="24"/>
          <w:lang w:val="id-ID"/>
        </w:rPr>
        <w:t>2</w:t>
      </w:r>
      <w:r w:rsidRPr="006C623C">
        <w:rPr>
          <w:rFonts w:ascii="Cambria" w:eastAsia="Cambria" w:hAnsi="Cambria" w:cs="Cambria"/>
          <w:b/>
          <w:bCs/>
          <w:color w:val="000000"/>
          <w:sz w:val="24"/>
          <w:szCs w:val="24"/>
          <w:lang w:val="id-ID"/>
        </w:rPr>
        <w:t xml:space="preserve">. </w:t>
      </w:r>
      <w:r w:rsidRPr="000F64A5">
        <w:rPr>
          <w:rFonts w:ascii="Cambria" w:eastAsia="Cambria" w:hAnsi="Cambria" w:cs="Cambria"/>
          <w:bCs/>
          <w:color w:val="000000"/>
          <w:sz w:val="24"/>
          <w:szCs w:val="24"/>
          <w:lang w:val="id-ID"/>
        </w:rPr>
        <w:t>PLS-SEM Bootstrapping Results (t-values)</w:t>
      </w:r>
    </w:p>
    <w:p w:rsidR="00F37199" w:rsidRDefault="00CB6AA0" w:rsidP="000F64A5">
      <w:pPr>
        <w:spacing w:before="120" w:after="60"/>
        <w:jc w:val="both"/>
        <w:rPr>
          <w:rFonts w:ascii="Cambria" w:eastAsia="Cambria" w:hAnsi="Cambria" w:cs="Cambria"/>
          <w:b/>
          <w:bCs/>
          <w:color w:val="000000"/>
          <w:sz w:val="24"/>
          <w:szCs w:val="24"/>
          <w:lang w:val="id-ID"/>
        </w:rPr>
      </w:pPr>
      <w:r w:rsidRPr="00050818">
        <w:rPr>
          <w:rFonts w:ascii="Cambria" w:eastAsia="Cambria" w:hAnsi="Cambria" w:cs="Cambria"/>
          <w:b/>
          <w:bCs/>
          <w:color w:val="000000"/>
          <w:sz w:val="24"/>
          <w:szCs w:val="24"/>
          <w:lang w:val="id-ID"/>
        </w:rPr>
        <w:t>Discussion</w:t>
      </w:r>
    </w:p>
    <w:p w:rsidR="00F37199" w:rsidRDefault="00CB6AA0" w:rsidP="000F64A5">
      <w:pPr>
        <w:spacing w:before="60" w:after="60"/>
        <w:jc w:val="both"/>
        <w:rPr>
          <w:rFonts w:ascii="Cambria" w:eastAsia="Cambria" w:hAnsi="Cambria" w:cs="Cambria"/>
          <w:b/>
          <w:bCs/>
          <w:color w:val="000000"/>
          <w:sz w:val="24"/>
          <w:szCs w:val="24"/>
          <w:lang w:val="id-ID"/>
        </w:rPr>
      </w:pPr>
      <w:r w:rsidRPr="006C623C">
        <w:rPr>
          <w:rFonts w:ascii="Cambria" w:eastAsia="Cambria" w:hAnsi="Cambria" w:cs="Cambria"/>
          <w:b/>
          <w:bCs/>
          <w:color w:val="000000"/>
          <w:sz w:val="24"/>
          <w:szCs w:val="24"/>
          <w:lang w:val="id-ID"/>
        </w:rPr>
        <w:t>The Causal Mechanism of Financial Literacy on MSME Performance</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The empirical findings of this study demonstrate that financial literacy has a positive, statistically significant effect on MSME performance in East Java (β = 0.572, CR = 9.938, p &lt; 0.001). This result provides robust empirical support for the theoretical proposition that financial literacy functions as a strategic capability enabling business actors to optimize resource allocation, manage cash flow systematically, and evaluate investment opportunities more effectively.</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 xml:space="preserve">The confirmation of the measurement model's validity revealed a robust metric foundation for the proposed theoretical constructs. All manifest indicators for the latent variables of Financial Literacy (FL) and MSME Performance (KU) exhibited statistically significant factor loadings (p &lt; 0.001), with t-values ranging from 10.346 to 24.816. These findings not only satisfy the strict requirements for convergent validity </w:t>
      </w:r>
      <w:sdt>
        <w:sdtPr>
          <w:rPr>
            <w:rFonts w:ascii="Cambria" w:eastAsia="Cambria" w:hAnsi="Cambria" w:cs="Cambria"/>
            <w:color w:val="000000"/>
            <w:sz w:val="24"/>
            <w:szCs w:val="24"/>
            <w:lang w:val="id-ID"/>
          </w:rPr>
          <w:tag w:val="MENDELEY_CITATION_v3_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"/>
          <w:id w:val="1882282862"/>
          <w:placeholder>
            <w:docPart w:val="708400C2E7FA4989AA4DA5683B5F98B4"/>
          </w:placeholder>
        </w:sdtPr>
        <w:sdtEndPr/>
        <w:sdtContent>
          <w:r w:rsidRPr="00DE1AA2">
            <w:rPr>
              <w:rFonts w:ascii="Cambria" w:eastAsia="Cambria" w:hAnsi="Cambria" w:cs="Cambria"/>
              <w:color w:val="000000"/>
              <w:sz w:val="24"/>
              <w:szCs w:val="24"/>
              <w:lang w:val="id-ID"/>
            </w:rPr>
            <w:t>(Hair, Black, et al., 2019)</w:t>
          </w:r>
        </w:sdtContent>
      </w:sdt>
      <w:r w:rsidRPr="00450941">
        <w:rPr>
          <w:rFonts w:ascii="Cambria" w:eastAsia="Cambria" w:hAnsi="Cambria" w:cs="Cambria"/>
          <w:color w:val="000000"/>
          <w:sz w:val="24"/>
          <w:szCs w:val="24"/>
          <w:lang w:val="id-ID"/>
        </w:rPr>
        <w:t xml:space="preserve"> but also demonstrate that each indicator functions as a reliable and strong proxy reflecting its intended latent dimension. The magnitude of these factor loadings indicates that the FL and KU constructs were operationalized appropriately, thereby providing </w:t>
      </w:r>
      <w:r w:rsidRPr="00450941">
        <w:rPr>
          <w:rFonts w:ascii="Cambria" w:eastAsia="Cambria" w:hAnsi="Cambria" w:cs="Cambria"/>
          <w:color w:val="000000"/>
          <w:sz w:val="24"/>
          <w:szCs w:val="24"/>
          <w:lang w:val="id-ID"/>
        </w:rPr>
        <w:lastRenderedPageBreak/>
        <w:t>empirical justification to proceed with interpreting the model's core structural relationships.</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 xml:space="preserve">Within the Resource-Based View (RBV), financial literacy can be conceptualized as a strategic intangible resource that is valuable, rare, and difficult to imitate </w:t>
      </w:r>
      <w:sdt>
        <w:sdtPr>
          <w:rPr>
            <w:rFonts w:ascii="Cambria" w:eastAsia="Cambria" w:hAnsi="Cambria" w:cs="Cambria"/>
            <w:color w:val="000000"/>
            <w:sz w:val="24"/>
            <w:szCs w:val="24"/>
            <w:lang w:val="id-ID"/>
          </w:rPr>
          <w:tag w:val="MENDELEY_CITATION_v3_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"/>
          <w:id w:val="1713372766"/>
          <w:placeholder>
            <w:docPart w:val="708400C2E7FA4989AA4DA5683B5F98B4"/>
          </w:placeholder>
        </w:sdtPr>
        <w:sdtEndPr/>
        <w:sdtContent>
          <w:r w:rsidRPr="00DE1AA2">
            <w:rPr>
              <w:rFonts w:ascii="Cambria" w:eastAsia="Cambria" w:hAnsi="Cambria" w:cs="Cambria"/>
              <w:color w:val="000000"/>
              <w:sz w:val="24"/>
              <w:szCs w:val="24"/>
              <w:lang w:val="id-ID"/>
            </w:rPr>
            <w:t>(Barney, 1991)</w:t>
          </w:r>
        </w:sdtContent>
      </w:sdt>
      <w:r w:rsidRPr="00450941">
        <w:rPr>
          <w:rFonts w:ascii="Cambria" w:eastAsia="Cambria" w:hAnsi="Cambria" w:cs="Cambria"/>
          <w:color w:val="000000"/>
          <w:sz w:val="24"/>
          <w:szCs w:val="24"/>
          <w:lang w:val="id-ID"/>
        </w:rPr>
        <w:t xml:space="preserve">. This perspective aligns with contemporary financial literacy studies, which affirm its role as a microfoundation of dynamic capabilities in entrepreneurial contexts </w:t>
      </w:r>
      <w:sdt>
        <w:sdtPr>
          <w:rPr>
            <w:rFonts w:ascii="Cambria" w:eastAsia="Cambria" w:hAnsi="Cambria" w:cs="Cambria"/>
            <w:color w:val="000000"/>
            <w:sz w:val="24"/>
            <w:szCs w:val="24"/>
            <w:lang w:val="id-ID"/>
          </w:rPr>
          <w:tag w:val="MENDELEY_CITATION_v3_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"/>
          <w:id w:val="-1670315288"/>
          <w:placeholder>
            <w:docPart w:val="708400C2E7FA4989AA4DA5683B5F98B4"/>
          </w:placeholder>
        </w:sdtPr>
        <w:sdtEndPr/>
        <w:sdtContent>
          <w:r w:rsidRPr="00DE1AA2">
            <w:rPr>
              <w:rFonts w:ascii="Cambria" w:eastAsia="Cambria" w:hAnsi="Cambria" w:cs="Cambria"/>
              <w:color w:val="000000"/>
              <w:sz w:val="24"/>
              <w:szCs w:val="24"/>
              <w:lang w:val="id-ID"/>
            </w:rPr>
            <w:t>(Mendez-Picazo et al., 2021)</w:t>
          </w:r>
        </w:sdtContent>
      </w:sdt>
      <w:r w:rsidRPr="00450941">
        <w:rPr>
          <w:rFonts w:ascii="Cambria" w:eastAsia="Cambria" w:hAnsi="Cambria" w:cs="Cambria"/>
          <w:color w:val="000000"/>
          <w:sz w:val="24"/>
          <w:szCs w:val="24"/>
          <w:lang w:val="id-ID"/>
        </w:rPr>
        <w:t xml:space="preserve">. When entrepreneurs in the MSME sector possess sound financial literacy, the resulting business decisions and financial management lead to better development over time </w:t>
      </w:r>
      <w:sdt>
        <w:sdtPr>
          <w:rPr>
            <w:rFonts w:ascii="Cambria" w:eastAsia="Cambria" w:hAnsi="Cambria" w:cs="Cambria"/>
            <w:color w:val="000000"/>
            <w:sz w:val="24"/>
            <w:szCs w:val="24"/>
            <w:lang w:val="id-ID"/>
          </w:rPr>
          <w:tag w:val="MENDELEY_CITATION_v3_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"/>
          <w:id w:val="-1780709479"/>
          <w:placeholder>
            <w:docPart w:val="708400C2E7FA4989AA4DA5683B5F98B4"/>
          </w:placeholder>
        </w:sdtPr>
        <w:sdtEndPr/>
        <w:sdtContent>
          <w:r w:rsidRPr="00DE1AA2">
            <w:rPr>
              <w:rFonts w:ascii="Cambria" w:eastAsia="Cambria" w:hAnsi="Cambria" w:cs="Cambria"/>
              <w:color w:val="000000"/>
              <w:sz w:val="24"/>
              <w:szCs w:val="24"/>
              <w:lang w:val="id-ID"/>
            </w:rPr>
            <w:t>(Widodo, 2022)</w:t>
          </w:r>
        </w:sdtContent>
      </w:sdt>
      <w:r w:rsidRPr="00450941">
        <w:rPr>
          <w:rFonts w:ascii="Cambria" w:eastAsia="Cambria" w:hAnsi="Cambria" w:cs="Cambria"/>
          <w:color w:val="000000"/>
          <w:sz w:val="24"/>
          <w:szCs w:val="24"/>
          <w:lang w:val="id-ID"/>
        </w:rPr>
        <w:t>. The higher the financial competence, the more correctly and efficiently business operations are managed, and consequently, production and financial management are also properly administered.</w:t>
      </w:r>
    </w:p>
    <w:p w:rsidR="00F37199" w:rsidRDefault="00CB6AA0" w:rsidP="00572E16">
      <w:pPr>
        <w:spacing w:before="60" w:after="60"/>
        <w:jc w:val="both"/>
        <w:rPr>
          <w:rFonts w:ascii="Cambria" w:eastAsia="Cambria" w:hAnsi="Cambria" w:cs="Cambria"/>
          <w:color w:val="000000"/>
          <w:sz w:val="24"/>
          <w:szCs w:val="24"/>
          <w:lang w:val="id-ID"/>
        </w:rPr>
      </w:pPr>
      <w:r w:rsidRPr="00450941">
        <w:rPr>
          <w:rFonts w:ascii="Cambria" w:eastAsia="Cambria" w:hAnsi="Cambria" w:cs="Cambria"/>
          <w:b/>
          <w:bCs/>
          <w:color w:val="000000"/>
          <w:sz w:val="24"/>
          <w:szCs w:val="24"/>
          <w:lang w:val="id-ID"/>
        </w:rPr>
        <w:t>Financial Literacy and Intellectual Capital: A Tripartite Framework</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 xml:space="preserve">An innovative contribution of this study is the integration of financial literacy within the Intellectual Capital (IC) framework comprising Human Capital, Structural Capital, and Relational Capital </w:t>
      </w:r>
      <w:sdt>
        <w:sdtPr>
          <w:rPr>
            <w:rFonts w:ascii="Cambria" w:eastAsia="Cambria" w:hAnsi="Cambria" w:cs="Cambria"/>
            <w:color w:val="000000"/>
            <w:sz w:val="24"/>
            <w:szCs w:val="24"/>
            <w:lang w:val="id-ID"/>
          </w:rPr>
          <w:tag w:val="MENDELEY_CITATION_v3_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"/>
          <w:id w:val="1345524141"/>
          <w:placeholder>
            <w:docPart w:val="708400C2E7FA4989AA4DA5683B5F98B4"/>
          </w:placeholder>
        </w:sdtPr>
        <w:sdtEndPr/>
        <w:sdtContent>
          <w:r w:rsidRPr="00DE1AA2">
            <w:rPr>
              <w:rFonts w:ascii="Cambria" w:hAnsi="Cambria"/>
              <w:color w:val="000000"/>
              <w:sz w:val="24"/>
            </w:rPr>
            <w:t>(Bontis, 1998; Edvinsson &amp; Malone, 1997)</w:t>
          </w:r>
        </w:sdtContent>
      </w:sdt>
      <w:r w:rsidRPr="00450941">
        <w:rPr>
          <w:rFonts w:ascii="Cambria" w:eastAsia="Cambria" w:hAnsi="Cambria" w:cs="Cambria"/>
          <w:color w:val="000000"/>
          <w:sz w:val="24"/>
          <w:szCs w:val="24"/>
          <w:lang w:val="id-ID"/>
        </w:rPr>
        <w:t>. This integration provides a more comprehensive understanding of how financial literacy translates into organizational performance.</w:t>
      </w:r>
    </w:p>
    <w:p w:rsidR="00F37199" w:rsidRPr="00450941" w:rsidRDefault="00CB6AA0" w:rsidP="00F37199">
      <w:pPr>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Human Capital: The Knowledge Foundation</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 xml:space="preserve">Human capital refers to the knowledge, skills, competencies, and abilities embedded in individuals that enable them to perform effectively </w:t>
      </w:r>
      <w:sdt>
        <w:sdtPr>
          <w:rPr>
            <w:rFonts w:ascii="Cambria" w:eastAsia="Cambria" w:hAnsi="Cambria" w:cs="Cambria"/>
            <w:color w:val="000000"/>
            <w:sz w:val="24"/>
            <w:szCs w:val="24"/>
            <w:lang w:val="id-ID"/>
          </w:rPr>
          <w:tag w:val="MENDELEY_CITATION_v3_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"/>
          <w:id w:val="1453124708"/>
          <w:placeholder>
            <w:docPart w:val="708400C2E7FA4989AA4DA5683B5F98B4"/>
          </w:placeholder>
        </w:sdtPr>
        <w:sdtEndPr/>
        <w:sdtContent>
          <w:r w:rsidRPr="00DE1AA2">
            <w:rPr>
              <w:rFonts w:ascii="Cambria" w:hAnsi="Cambria"/>
              <w:color w:val="000000"/>
              <w:sz w:val="24"/>
            </w:rPr>
            <w:t>(Subramaniam &amp; Youndt, 2005)</w:t>
          </w:r>
        </w:sdtContent>
      </w:sdt>
      <w:r w:rsidRPr="00450941">
        <w:rPr>
          <w:rFonts w:ascii="Cambria" w:eastAsia="Cambria" w:hAnsi="Cambria" w:cs="Cambria"/>
          <w:color w:val="000000"/>
          <w:sz w:val="24"/>
          <w:szCs w:val="24"/>
          <w:lang w:val="id-ID"/>
        </w:rPr>
        <w:t>. In this study, financial literacy is a critical dimension of human capital for MSME owners and managers.</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 xml:space="preserve">Financial literacy comprises the knowledge, skills, and beliefs that influence attitudes and behaviors to improve the quality of financial decision-making and management, thereby achieving prosperity. Financial literacy is defined as the ability to use knowledge and skills to effectively manage financial resources to achieve long-term financial well-being </w:t>
      </w:r>
      <w:sdt>
        <w:sdtPr>
          <w:rPr>
            <w:rFonts w:ascii="Cambria" w:eastAsia="Cambria" w:hAnsi="Cambria" w:cs="Cambria"/>
            <w:color w:val="000000"/>
            <w:sz w:val="24"/>
            <w:szCs w:val="24"/>
            <w:lang w:val="id-ID"/>
          </w:rPr>
          <w:tag w:val="MENDELEY_CITATION_v3_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"/>
          <w:id w:val="-51084339"/>
          <w:placeholder>
            <w:docPart w:val="708400C2E7FA4989AA4DA5683B5F98B4"/>
          </w:placeholder>
        </w:sdtPr>
        <w:sdtEndPr/>
        <w:sdtContent>
          <w:r w:rsidRPr="00DE1AA2">
            <w:rPr>
              <w:rFonts w:ascii="Cambria" w:eastAsia="Cambria" w:hAnsi="Cambria" w:cs="Cambria"/>
              <w:color w:val="000000"/>
              <w:sz w:val="24"/>
              <w:szCs w:val="24"/>
              <w:lang w:val="id-ID"/>
            </w:rPr>
            <w:t>(Ben Douissa, 2019)</w:t>
          </w:r>
        </w:sdtContent>
      </w:sdt>
      <w:r w:rsidRPr="00450941">
        <w:rPr>
          <w:rFonts w:ascii="Cambria" w:eastAsia="Cambria" w:hAnsi="Cambria" w:cs="Cambria"/>
          <w:color w:val="000000"/>
          <w:sz w:val="24"/>
          <w:szCs w:val="24"/>
          <w:lang w:val="id-ID"/>
        </w:rPr>
        <w:t>. This finding supports Financial Services Authority Regulation Number 76 of 2016, which explains that financial literacy aims to improve the quality of individuals' financial decisions and bring about better changes in financial management attitudes and behaviors.</w:t>
      </w:r>
    </w:p>
    <w:p w:rsidR="00F37199" w:rsidRPr="00450941" w:rsidRDefault="006B2C60" w:rsidP="00F37199">
      <w:pPr>
        <w:ind w:firstLine="567"/>
        <w:jc w:val="both"/>
        <w:rPr>
          <w:rFonts w:ascii="Cambria" w:eastAsia="Cambria" w:hAnsi="Cambria" w:cs="Cambria"/>
          <w:color w:val="000000"/>
          <w:sz w:val="24"/>
          <w:szCs w:val="24"/>
          <w:lang w:val="id-ID"/>
        </w:rPr>
      </w:pPr>
      <w:sdt>
        <w:sdtPr>
          <w:rPr>
            <w:rFonts w:ascii="Cambria" w:eastAsia="Cambria" w:hAnsi="Cambria" w:cs="Cambria"/>
            <w:color w:val="000000"/>
            <w:sz w:val="24"/>
            <w:szCs w:val="24"/>
            <w:lang w:val="id-ID"/>
          </w:rPr>
          <w:tag w:val="MENDELEY_CITATION_v3_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"/>
          <w:id w:val="-80913783"/>
          <w:placeholder>
            <w:docPart w:val="708400C2E7FA4989AA4DA5683B5F98B4"/>
          </w:placeholder>
        </w:sdtPr>
        <w:sdtEndPr/>
        <w:sdtContent>
          <w:r w:rsidR="00CB6AA0" w:rsidRPr="00DE1AA2">
            <w:rPr>
              <w:rFonts w:ascii="Cambria" w:hAnsi="Cambria"/>
              <w:color w:val="000000"/>
              <w:sz w:val="24"/>
            </w:rPr>
            <w:t>Lusardi &amp; Mitchell (2014)</w:t>
          </w:r>
        </w:sdtContent>
      </w:sdt>
      <w:r w:rsidR="00CB6AA0" w:rsidRPr="00450941">
        <w:rPr>
          <w:rFonts w:ascii="Cambria" w:eastAsia="Cambria" w:hAnsi="Cambria" w:cs="Cambria"/>
          <w:color w:val="000000"/>
          <w:sz w:val="24"/>
          <w:szCs w:val="24"/>
          <w:lang w:val="id-ID"/>
        </w:rPr>
        <w:t xml:space="preserve"> argue that the integration and complexity of the global economy have led to a significant expansion in the scope and depth of residents' economic activities, requiring them to assume greater responsibility for their financial decisions. The role of financial understanding encompasses investment and financial governance decisions, including ensuring financial literacy to support the performance of micro, small, and medium-sized organizations. This implies that in management actions, policy formulation, and decision-making, financial literacy constitutes a critical source of information.</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Financial literacy refers to the ability to manage and utilize financial services to achieve company objectives. It encompasses knowledge and skills in concepts such as budgeting, debt, liabilities, and consumer management. It may also include knowledge of cash flow planning, sales, and marketing management. Furthermore, in the context of the pandemic, it may also include behavioral traits that facilitate contract negotiation with financial institutions, suppliers, and other relevant parties.</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 xml:space="preserve">Empirical evidence from this study supports the human capital perspective. All financial literacy indicators (X1_1 to X3_4) demonstrated significant loadings (0.659-0.788), confirming that knowledge-based competencies are valid measures of the </w:t>
      </w:r>
      <w:r w:rsidRPr="00450941">
        <w:rPr>
          <w:rFonts w:ascii="Cambria" w:eastAsia="Cambria" w:hAnsi="Cambria" w:cs="Cambria"/>
          <w:color w:val="000000"/>
          <w:sz w:val="24"/>
          <w:szCs w:val="24"/>
          <w:lang w:val="id-ID"/>
        </w:rPr>
        <w:lastRenderedPageBreak/>
        <w:t>financial literacy construct. The high Cronbach's Alpha (0.925) further indicates that the human capital dimension of financial literacy is internally consistent and reliable.</w:t>
      </w:r>
    </w:p>
    <w:p w:rsidR="00F37199" w:rsidRPr="000F64A5" w:rsidRDefault="00CB6AA0" w:rsidP="000F64A5">
      <w:pPr>
        <w:spacing w:before="60" w:after="60"/>
        <w:jc w:val="both"/>
        <w:rPr>
          <w:rFonts w:ascii="Cambria" w:eastAsia="Cambria" w:hAnsi="Cambria" w:cs="Cambria"/>
          <w:b/>
          <w:bCs/>
          <w:color w:val="000000"/>
          <w:sz w:val="24"/>
          <w:szCs w:val="24"/>
          <w:lang w:val="id-ID"/>
        </w:rPr>
      </w:pPr>
      <w:r w:rsidRPr="000F64A5">
        <w:rPr>
          <w:rFonts w:ascii="Cambria" w:eastAsia="Cambria" w:hAnsi="Cambria" w:cs="Cambria"/>
          <w:b/>
          <w:bCs/>
          <w:color w:val="000000"/>
          <w:sz w:val="24"/>
          <w:szCs w:val="24"/>
          <w:lang w:val="id-ID"/>
        </w:rPr>
        <w:t>Structural Capital: The Enabling Infrastructure</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Structural capital refers to the organizational systems, processes, databases, policies, and cultures that enable human capital to function effectively (Youndt et al., 2004). In the MSME context, structural capital manifests through financial management systems, accounting practices, record-keeping procedures, and operational routines that embed financial literacy into organizational processes.</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Financial literacy supports lending activities, thereby enhancing the importance of credit in the economy. Second, financial literacy helps prevent the accumulation of non-performing loans, thereby reducing credit risk and improving the quality of banks' credit portfolios. The objective of financial management is to maximize profits or benefits and minimize costs or expenditures in order to achieve maximum decision-making power in directing company development, operations, or business survival.</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Financial management practices, such as saving, borrowing, and investing, can benefit business activities. Financial management grounded in financial literacy can further enhance the operations of micro, small, and medium enterprises. For all MSMEs in East Java to become financially literate, these business actors will be able to make sound business decisions and manage their finances effectively, leading to rapid business development. Therefore, MSME entrepreneurs must learn properly and understand how to apply financial literacy in their businesses.</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 xml:space="preserve">Financial literacy can contribute to efficient capital management by increasing the value of savings and credit, reducing debt arrears, and alleviating financial pressure </w:t>
      </w:r>
      <w:sdt>
        <w:sdtPr>
          <w:rPr>
            <w:rFonts w:ascii="Cambria" w:eastAsia="Cambria" w:hAnsi="Cambria" w:cs="Cambria"/>
            <w:color w:val="000000"/>
            <w:sz w:val="24"/>
            <w:szCs w:val="24"/>
            <w:lang w:val="id-ID"/>
          </w:rPr>
          <w:tag w:val="MENDELEY_CITATION_v3_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"/>
          <w:id w:val="-1720668810"/>
          <w:placeholder>
            <w:docPart w:val="708400C2E7FA4989AA4DA5683B5F98B4"/>
          </w:placeholder>
        </w:sdtPr>
        <w:sdtEndPr/>
        <w:sdtContent>
          <w:r w:rsidRPr="00DE1AA2">
            <w:rPr>
              <w:rFonts w:ascii="Cambria" w:eastAsia="Cambria" w:hAnsi="Cambria" w:cs="Cambria"/>
              <w:color w:val="000000"/>
              <w:sz w:val="24"/>
              <w:szCs w:val="24"/>
              <w:lang w:val="id-ID"/>
            </w:rPr>
            <w:t>(Theodos et al., 2018)</w:t>
          </w:r>
        </w:sdtContent>
      </w:sdt>
      <w:r w:rsidRPr="00450941">
        <w:rPr>
          <w:rFonts w:ascii="Cambria" w:eastAsia="Cambria" w:hAnsi="Cambria" w:cs="Cambria"/>
          <w:color w:val="000000"/>
          <w:sz w:val="24"/>
          <w:szCs w:val="24"/>
          <w:lang w:val="id-ID"/>
        </w:rPr>
        <w:t xml:space="preserve">. </w:t>
      </w:r>
      <w:sdt>
        <w:sdtPr>
          <w:rPr>
            <w:rFonts w:ascii="Cambria" w:eastAsia="Cambria" w:hAnsi="Cambria" w:cs="Cambria"/>
            <w:color w:val="000000"/>
            <w:sz w:val="24"/>
            <w:szCs w:val="24"/>
            <w:lang w:val="id-ID"/>
          </w:rPr>
          <w:tag w:val="MENDELEY_CITATION_v3_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"/>
          <w:id w:val="1463696944"/>
          <w:placeholder>
            <w:docPart w:val="708400C2E7FA4989AA4DA5683B5F98B4"/>
          </w:placeholder>
        </w:sdtPr>
        <w:sdtEndPr/>
        <w:sdtContent>
          <w:r w:rsidRPr="00DE1AA2">
            <w:rPr>
              <w:rFonts w:ascii="Cambria" w:eastAsia="Cambria" w:hAnsi="Cambria" w:cs="Cambria"/>
              <w:color w:val="000000"/>
              <w:sz w:val="24"/>
              <w:szCs w:val="24"/>
              <w:lang w:val="id-ID"/>
            </w:rPr>
            <w:t>Engels et al. (2020)</w:t>
          </w:r>
        </w:sdtContent>
      </w:sdt>
      <w:r w:rsidRPr="00450941">
        <w:rPr>
          <w:rFonts w:ascii="Cambria" w:eastAsia="Cambria" w:hAnsi="Cambria" w:cs="Cambria"/>
          <w:color w:val="000000"/>
          <w:sz w:val="24"/>
          <w:szCs w:val="24"/>
          <w:lang w:val="id-ID"/>
        </w:rPr>
        <w:t xml:space="preserve"> suggest that improving financial literacy enhances individuals' ability to detect financial fraud, thereby reducing the risk of wealth loss.</w:t>
      </w:r>
    </w:p>
    <w:p w:rsidR="00F37199"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Empirical evidence from this study reveals that the R² value of 0.327 indicates that financial literacy explains 32.7% of MSME performance variance. This suggests that structural capital elements</w:t>
      </w:r>
      <w:r>
        <w:rPr>
          <w:rFonts w:ascii="Cambria" w:eastAsia="Cambria" w:hAnsi="Cambria" w:cs="Cambria"/>
          <w:color w:val="000000"/>
          <w:sz w:val="24"/>
          <w:szCs w:val="24"/>
          <w:lang w:val="id-ID"/>
        </w:rPr>
        <w:t xml:space="preserve">, </w:t>
      </w:r>
      <w:r w:rsidRPr="00450941">
        <w:rPr>
          <w:rFonts w:ascii="Cambria" w:eastAsia="Cambria" w:hAnsi="Cambria" w:cs="Cambria"/>
          <w:color w:val="000000"/>
          <w:sz w:val="24"/>
          <w:szCs w:val="24"/>
          <w:lang w:val="id-ID"/>
        </w:rPr>
        <w:t>the systems and processes through which financial knowledge is operationalized</w:t>
      </w:r>
      <w:r>
        <w:rPr>
          <w:rFonts w:ascii="Cambria" w:eastAsia="Cambria" w:hAnsi="Cambria" w:cs="Cambria"/>
          <w:color w:val="000000"/>
          <w:sz w:val="24"/>
          <w:szCs w:val="24"/>
          <w:lang w:val="id-ID"/>
        </w:rPr>
        <w:t xml:space="preserve">, </w:t>
      </w:r>
      <w:r w:rsidRPr="00450941">
        <w:rPr>
          <w:rFonts w:ascii="Cambria" w:eastAsia="Cambria" w:hAnsi="Cambria" w:cs="Cambria"/>
          <w:color w:val="000000"/>
          <w:sz w:val="24"/>
          <w:szCs w:val="24"/>
          <w:lang w:val="id-ID"/>
        </w:rPr>
        <w:t>account for approximately one-third of performance outcomes. The remaining 67.3% variance indicates that other structural factors (e.g., market conditions, regulatory environment, technological infrastructure) also play significant roles.</w:t>
      </w:r>
    </w:p>
    <w:p w:rsidR="00F37199" w:rsidRPr="00572E16" w:rsidRDefault="00CB6AA0" w:rsidP="00572E16">
      <w:pPr>
        <w:spacing w:before="60" w:after="60"/>
        <w:jc w:val="both"/>
        <w:rPr>
          <w:rFonts w:ascii="Cambria" w:eastAsia="Cambria" w:hAnsi="Cambria" w:cs="Cambria"/>
          <w:b/>
          <w:bCs/>
          <w:color w:val="000000"/>
          <w:sz w:val="24"/>
          <w:szCs w:val="24"/>
          <w:lang w:val="id-ID"/>
        </w:rPr>
      </w:pPr>
      <w:r w:rsidRPr="00572E16">
        <w:rPr>
          <w:rFonts w:ascii="Cambria" w:eastAsia="Cambria" w:hAnsi="Cambria" w:cs="Cambria"/>
          <w:b/>
          <w:bCs/>
          <w:color w:val="000000"/>
          <w:sz w:val="24"/>
          <w:szCs w:val="24"/>
          <w:lang w:val="id-ID"/>
        </w:rPr>
        <w:t>Relational Capital: The Network Advantage</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 xml:space="preserve">Relational capital encompasses the value embedded in an organization's relationships with external stakeholders, including customers, suppliers, financial institutions, and regulatory bodies </w:t>
      </w:r>
      <w:sdt>
        <w:sdtPr>
          <w:rPr>
            <w:rFonts w:ascii="Cambria" w:eastAsia="Cambria" w:hAnsi="Cambria" w:cs="Cambria"/>
            <w:color w:val="000000"/>
            <w:sz w:val="24"/>
            <w:szCs w:val="24"/>
            <w:lang w:val="id-ID"/>
          </w:rPr>
          <w:tag w:val="MENDELEY_CITATION_v3_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"/>
          <w:id w:val="226805237"/>
          <w:placeholder>
            <w:docPart w:val="708400C2E7FA4989AA4DA5683B5F98B4"/>
          </w:placeholder>
        </w:sdtPr>
        <w:sdtEndPr/>
        <w:sdtContent>
          <w:r w:rsidRPr="00DE1AA2">
            <w:rPr>
              <w:rFonts w:ascii="Cambria" w:hAnsi="Cambria"/>
              <w:color w:val="000000"/>
              <w:sz w:val="24"/>
            </w:rPr>
            <w:t>(Nahapiet &amp; Ghoshal, 1998)</w:t>
          </w:r>
        </w:sdtContent>
      </w:sdt>
      <w:r w:rsidRPr="00450941">
        <w:rPr>
          <w:rFonts w:ascii="Cambria" w:eastAsia="Cambria" w:hAnsi="Cambria" w:cs="Cambria"/>
          <w:color w:val="000000"/>
          <w:sz w:val="24"/>
          <w:szCs w:val="24"/>
          <w:lang w:val="id-ID"/>
        </w:rPr>
        <w:t>. In the MSME context, relational capital manifests through banking relationships, supplier networks, customer loyalty, and institutional linkages.</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 xml:space="preserve">In the context of MSME development, financial literacy indeed constitutes the primary foundation; however, it is insufficient </w:t>
      </w:r>
      <w:r>
        <w:rPr>
          <w:rFonts w:ascii="Cambria" w:eastAsia="Cambria" w:hAnsi="Cambria" w:cs="Cambria"/>
          <w:color w:val="000000"/>
          <w:sz w:val="24"/>
          <w:szCs w:val="24"/>
          <w:lang w:val="id-ID"/>
        </w:rPr>
        <w:t>without</w:t>
      </w:r>
      <w:r w:rsidRPr="00450941">
        <w:rPr>
          <w:rFonts w:ascii="Cambria" w:eastAsia="Cambria" w:hAnsi="Cambria" w:cs="Cambria"/>
          <w:color w:val="000000"/>
          <w:sz w:val="24"/>
          <w:szCs w:val="24"/>
          <w:lang w:val="id-ID"/>
        </w:rPr>
        <w:t xml:space="preserve"> digital financial management capabilities. Mastery of modern financial technology enables business actors to record transactions more systematically, accurately, and transparently. Furthermore, integration with accounting applications, digital payment systems, and e-commerce platforms enhances operational efficiency while expanding market access.</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 xml:space="preserve">The combination of financial literacy understanding with digital financial management skills will strengthen MSME competitiveness, enhance professionalism, and </w:t>
      </w:r>
      <w:r w:rsidRPr="00450941">
        <w:rPr>
          <w:rFonts w:ascii="Cambria" w:eastAsia="Cambria" w:hAnsi="Cambria" w:cs="Cambria"/>
          <w:color w:val="000000"/>
          <w:sz w:val="24"/>
          <w:szCs w:val="24"/>
          <w:lang w:val="id-ID"/>
        </w:rPr>
        <w:lastRenderedPageBreak/>
        <w:t>support business sustainability in the technology-based economic era. Digital financial management serves as a transformative catalyst, significantly reshaping the landscape of financial literacy. By deeply integrating technology into personal financial practices, this paradigm reframes the way individuals access, manage, and, most importantly, understand financial services.</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This transformation is driven by the proliferation of digital tools and platforms that promise unprecedented accessibility and efficiency. However, this new era also presents its own complexities, demanding a dual level of proficiency</w:t>
      </w:r>
      <w:r>
        <w:rPr>
          <w:rFonts w:ascii="Cambria" w:eastAsia="Cambria" w:hAnsi="Cambria" w:cs="Cambria"/>
          <w:color w:val="000000"/>
          <w:sz w:val="24"/>
          <w:szCs w:val="24"/>
          <w:lang w:val="id-ID"/>
        </w:rPr>
        <w:t xml:space="preserve">, </w:t>
      </w:r>
      <w:r w:rsidRPr="00450941">
        <w:rPr>
          <w:rFonts w:ascii="Cambria" w:eastAsia="Cambria" w:hAnsi="Cambria" w:cs="Cambria"/>
          <w:color w:val="000000"/>
          <w:sz w:val="24"/>
          <w:szCs w:val="24"/>
          <w:lang w:val="id-ID"/>
        </w:rPr>
        <w:t>namely, financial literacy reinforced by digital literacy. The integration of the two marks the beginning of a new chapter in financial education and behavior, characterized by several key aspects.</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 xml:space="preserve">First, the emergence of fintech has revolutionized personal finance by providing tools such as digital wallets and mobile banking. These tools not only facilitate day-to-day financial management but also promote better decision-making, thereby enhancing financial inclusion and literacy by making financial services more accessible and user-friendly </w:t>
      </w:r>
      <w:sdt>
        <w:sdtPr>
          <w:rPr>
            <w:rFonts w:ascii="Cambria" w:eastAsia="Cambria" w:hAnsi="Cambria" w:cs="Cambria"/>
            <w:color w:val="000000"/>
            <w:sz w:val="24"/>
            <w:szCs w:val="24"/>
            <w:lang w:val="id-ID"/>
          </w:rPr>
          <w:tag w:val="MENDELEY_CITATION_v3_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"/>
          <w:id w:val="-497733481"/>
          <w:placeholder>
            <w:docPart w:val="708400C2E7FA4989AA4DA5683B5F98B4"/>
          </w:placeholder>
        </w:sdtPr>
        <w:sdtEndPr/>
        <w:sdtContent>
          <w:r w:rsidRPr="00DE1AA2">
            <w:rPr>
              <w:rFonts w:ascii="Cambria" w:hAnsi="Cambria"/>
              <w:color w:val="000000"/>
              <w:sz w:val="24"/>
            </w:rPr>
            <w:t>(Rani et al., 2025; Tabassum &amp; Ali, 2024)</w:t>
          </w:r>
        </w:sdtContent>
      </w:sdt>
      <w:r w:rsidRPr="00450941">
        <w:rPr>
          <w:rFonts w:ascii="Cambria" w:eastAsia="Cambria" w:hAnsi="Cambria" w:cs="Cambria"/>
          <w:color w:val="000000"/>
          <w:sz w:val="24"/>
          <w:szCs w:val="24"/>
          <w:lang w:val="id-ID"/>
        </w:rPr>
        <w:t xml:space="preserve">. The role of digital literacy in this context becomes crucial, as it acts as a moderating factor that strengthens the influence of financial technology on responsible financial behavior </w:t>
      </w:r>
      <w:sdt>
        <w:sdtPr>
          <w:rPr>
            <w:rFonts w:ascii="Cambria" w:eastAsia="Cambria" w:hAnsi="Cambria" w:cs="Cambria"/>
            <w:color w:val="000000"/>
            <w:sz w:val="24"/>
            <w:szCs w:val="24"/>
            <w:lang w:val="id-ID"/>
          </w:rPr>
          <w:tag w:val="MENDELEY_CITATION_v3_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"/>
          <w:id w:val="-534427351"/>
          <w:placeholder>
            <w:docPart w:val="708400C2E7FA4989AA4DA5683B5F98B4"/>
          </w:placeholder>
        </w:sdtPr>
        <w:sdtEndPr/>
        <w:sdtContent>
          <w:r w:rsidRPr="00DE1AA2">
            <w:rPr>
              <w:rFonts w:ascii="Cambria" w:hAnsi="Cambria"/>
              <w:color w:val="000000"/>
              <w:sz w:val="24"/>
            </w:rPr>
            <w:t>(Fadiyah &amp; Widodo, 2024)</w:t>
          </w:r>
        </w:sdtContent>
      </w:sdt>
      <w:r w:rsidRPr="00450941">
        <w:rPr>
          <w:rFonts w:ascii="Cambria" w:eastAsia="Cambria" w:hAnsi="Cambria" w:cs="Cambria"/>
          <w:color w:val="000000"/>
          <w:sz w:val="24"/>
          <w:szCs w:val="24"/>
          <w:lang w:val="id-ID"/>
        </w:rPr>
        <w:t>.</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 xml:space="preserve">Second, innovations in digital learning tools are opening new horizons for financial education. The development of artificial intelligence-based applications, for instance, has been shown to improve financial understanding through personalized recommendations and adaptive learning experiences </w:t>
      </w:r>
      <w:sdt>
        <w:sdtPr>
          <w:rPr>
            <w:rFonts w:ascii="Cambria" w:eastAsia="Cambria" w:hAnsi="Cambria" w:cs="Cambria"/>
            <w:color w:val="000000"/>
            <w:sz w:val="24"/>
            <w:szCs w:val="24"/>
            <w:lang w:val="id-ID"/>
          </w:rPr>
          <w:tag w:val="MENDELEY_CITATION_v3_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"/>
          <w:id w:val="-2054376162"/>
          <w:placeholder>
            <w:docPart w:val="708400C2E7FA4989AA4DA5683B5F98B4"/>
          </w:placeholder>
        </w:sdtPr>
        <w:sdtEndPr/>
        <w:sdtContent>
          <w:r w:rsidRPr="00DE1AA2">
            <w:rPr>
              <w:rFonts w:ascii="Cambria" w:eastAsia="Cambria" w:hAnsi="Cambria" w:cs="Cambria"/>
              <w:color w:val="000000"/>
              <w:sz w:val="24"/>
              <w:szCs w:val="24"/>
              <w:lang w:val="id-ID"/>
            </w:rPr>
            <w:t>(Bernatska et al., 2025)</w:t>
          </w:r>
        </w:sdtContent>
      </w:sdt>
      <w:r w:rsidRPr="00450941">
        <w:rPr>
          <w:rFonts w:ascii="Cambria" w:eastAsia="Cambria" w:hAnsi="Cambria" w:cs="Cambria"/>
          <w:color w:val="000000"/>
          <w:sz w:val="24"/>
          <w:szCs w:val="24"/>
          <w:lang w:val="id-ID"/>
        </w:rPr>
        <w:t xml:space="preserve">. This effectiveness confirms that educational programs that deliberately integrate digital literacy with financial literacy are key to promoting informed decision-making. This becomes particularly important in contexts where the adoption of digital tools is high but financial literacy does not necessarily keep pace </w:t>
      </w:r>
      <w:sdt>
        <w:sdtPr>
          <w:rPr>
            <w:rFonts w:ascii="Cambria" w:eastAsia="Cambria" w:hAnsi="Cambria" w:cs="Cambria"/>
            <w:color w:val="000000"/>
            <w:sz w:val="24"/>
            <w:szCs w:val="24"/>
            <w:lang w:val="id-ID"/>
          </w:rPr>
          <w:tag w:val="MENDELEY_CITATION_v3_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"/>
          <w:id w:val="735672524"/>
          <w:placeholder>
            <w:docPart w:val="708400C2E7FA4989AA4DA5683B5F98B4"/>
          </w:placeholder>
        </w:sdtPr>
        <w:sdtEndPr/>
        <w:sdtContent>
          <w:r w:rsidRPr="00DE1AA2">
            <w:rPr>
              <w:rFonts w:ascii="Cambria" w:eastAsia="Cambria" w:hAnsi="Cambria" w:cs="Cambria"/>
              <w:color w:val="000000"/>
              <w:sz w:val="24"/>
              <w:szCs w:val="24"/>
              <w:lang w:val="id-ID"/>
            </w:rPr>
            <w:t>(Mistry, 2025)</w:t>
          </w:r>
        </w:sdtContent>
      </w:sdt>
      <w:r w:rsidRPr="00450941">
        <w:rPr>
          <w:rFonts w:ascii="Cambria" w:eastAsia="Cambria" w:hAnsi="Cambria" w:cs="Cambria"/>
          <w:color w:val="000000"/>
          <w:sz w:val="24"/>
          <w:szCs w:val="24"/>
          <w:lang w:val="id-ID"/>
        </w:rPr>
        <w:t>.</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 xml:space="preserve">Third, however, behind these significant opportunities, this transformation is not without challenges. Digital financial services entail risks such as data security vulnerabilities, ethical dilemmas, and the urgent need for robust regulatory frameworks to protect consumers </w:t>
      </w:r>
      <w:sdt>
        <w:sdtPr>
          <w:rPr>
            <w:rFonts w:ascii="Cambria" w:eastAsia="Cambria" w:hAnsi="Cambria" w:cs="Cambria"/>
            <w:color w:val="000000"/>
            <w:sz w:val="24"/>
            <w:szCs w:val="24"/>
            <w:lang w:val="id-ID"/>
          </w:rPr>
          <w:tag w:val="MENDELEY_CITATION_v3_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"/>
          <w:id w:val="-930346529"/>
          <w:placeholder>
            <w:docPart w:val="708400C2E7FA4989AA4DA5683B5F98B4"/>
          </w:placeholder>
        </w:sdtPr>
        <w:sdtEndPr/>
        <w:sdtContent>
          <w:r w:rsidRPr="00DE1AA2">
            <w:rPr>
              <w:rFonts w:ascii="Cambria" w:hAnsi="Cambria"/>
              <w:color w:val="000000"/>
              <w:sz w:val="24"/>
            </w:rPr>
            <w:t>(Tabassum &amp; Ali, 2024)</w:t>
          </w:r>
        </w:sdtContent>
      </w:sdt>
      <w:r w:rsidRPr="00450941">
        <w:rPr>
          <w:rFonts w:ascii="Cambria" w:eastAsia="Cambria" w:hAnsi="Cambria" w:cs="Cambria"/>
          <w:color w:val="000000"/>
          <w:sz w:val="24"/>
          <w:szCs w:val="24"/>
          <w:lang w:val="id-ID"/>
        </w:rPr>
        <w:t xml:space="preserve">. Furthermore, there are concerns regarding the potential increase in impulsive consumption triggered by the ease of digital credit, as well as the technology adoption gap between urban and rural areas </w:t>
      </w:r>
      <w:sdt>
        <w:sdtPr>
          <w:rPr>
            <w:rFonts w:ascii="Cambria" w:eastAsia="Cambria" w:hAnsi="Cambria" w:cs="Cambria"/>
            <w:color w:val="000000"/>
            <w:sz w:val="24"/>
            <w:szCs w:val="24"/>
            <w:lang w:val="id-ID"/>
          </w:rPr>
          <w:tag w:val="MENDELEY_CITATION_v3_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"/>
          <w:id w:val="-2025549208"/>
          <w:placeholder>
            <w:docPart w:val="708400C2E7FA4989AA4DA5683B5F98B4"/>
          </w:placeholder>
        </w:sdtPr>
        <w:sdtEndPr/>
        <w:sdtContent>
          <w:r w:rsidRPr="00DE1AA2">
            <w:rPr>
              <w:rFonts w:ascii="Cambria" w:eastAsia="Cambria" w:hAnsi="Cambria" w:cs="Cambria"/>
              <w:color w:val="000000"/>
              <w:sz w:val="24"/>
              <w:szCs w:val="24"/>
              <w:lang w:val="id-ID"/>
            </w:rPr>
            <w:t>(Aprinawati et al., 2023)</w:t>
          </w:r>
        </w:sdtContent>
      </w:sdt>
      <w:r w:rsidRPr="00450941">
        <w:rPr>
          <w:rFonts w:ascii="Cambria" w:eastAsia="Cambria" w:hAnsi="Cambria" w:cs="Cambria"/>
          <w:color w:val="000000"/>
          <w:sz w:val="24"/>
          <w:szCs w:val="24"/>
          <w:lang w:val="id-ID"/>
        </w:rPr>
        <w:t xml:space="preserve">. Therefore, strategic collaboration between the public and private sectors is indispensable to developing inclusive and secure digital platforms, supported by targeted financial education programs to bridge socio-economic gaps </w:t>
      </w:r>
      <w:sdt>
        <w:sdtPr>
          <w:rPr>
            <w:rFonts w:ascii="Cambria" w:eastAsia="Cambria" w:hAnsi="Cambria" w:cs="Cambria"/>
            <w:color w:val="000000"/>
            <w:sz w:val="24"/>
            <w:szCs w:val="24"/>
            <w:lang w:val="id-ID"/>
          </w:rPr>
          <w:tag w:val="MENDELEY_CITATION_v3_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"/>
          <w:id w:val="-458027329"/>
          <w:placeholder>
            <w:docPart w:val="708400C2E7FA4989AA4DA5683B5F98B4"/>
          </w:placeholder>
        </w:sdtPr>
        <w:sdtEndPr/>
        <w:sdtContent>
          <w:r w:rsidRPr="00DE1AA2">
            <w:rPr>
              <w:rFonts w:ascii="Cambria" w:eastAsia="Cambria" w:hAnsi="Cambria" w:cs="Cambria"/>
              <w:color w:val="000000"/>
              <w:sz w:val="24"/>
              <w:szCs w:val="24"/>
              <w:lang w:val="id-ID"/>
            </w:rPr>
            <w:t>(Suryani et al., 2025)</w:t>
          </w:r>
        </w:sdtContent>
      </w:sdt>
      <w:r w:rsidRPr="00450941">
        <w:rPr>
          <w:rFonts w:ascii="Cambria" w:eastAsia="Cambria" w:hAnsi="Cambria" w:cs="Cambria"/>
          <w:color w:val="000000"/>
          <w:sz w:val="24"/>
          <w:szCs w:val="24"/>
          <w:lang w:val="id-ID"/>
        </w:rPr>
        <w:t>.</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Empirical evidence from this study: The HTMT value of 0.584 (&lt; 0.90) confirms that financial literacy and MSME performance are distinct but related constructs</w:t>
      </w:r>
      <w:r>
        <w:rPr>
          <w:rFonts w:ascii="Cambria" w:eastAsia="Cambria" w:hAnsi="Cambria" w:cs="Cambria"/>
          <w:color w:val="000000"/>
          <w:sz w:val="24"/>
          <w:szCs w:val="24"/>
          <w:lang w:val="id-ID"/>
        </w:rPr>
        <w:t xml:space="preserve">, </w:t>
      </w:r>
      <w:r w:rsidRPr="00450941">
        <w:rPr>
          <w:rFonts w:ascii="Cambria" w:eastAsia="Cambria" w:hAnsi="Cambria" w:cs="Cambria"/>
          <w:color w:val="000000"/>
          <w:sz w:val="24"/>
          <w:szCs w:val="24"/>
          <w:lang w:val="id-ID"/>
        </w:rPr>
        <w:t>suggesting that relational capital (external relationships) and human capital (individual knowledge) operate through different but complementary mechanisms.</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This study offers three significant theoretical novelties</w:t>
      </w:r>
      <w:r>
        <w:rPr>
          <w:rFonts w:ascii="Cambria" w:eastAsia="Cambria" w:hAnsi="Cambria" w:cs="Cambria"/>
          <w:color w:val="000000"/>
          <w:sz w:val="24"/>
          <w:szCs w:val="24"/>
          <w:lang w:val="id-ID"/>
        </w:rPr>
        <w:t xml:space="preserve">. </w:t>
      </w:r>
      <w:r w:rsidRPr="00450941">
        <w:rPr>
          <w:rFonts w:ascii="Cambria" w:eastAsia="Cambria" w:hAnsi="Cambria" w:cs="Cambria"/>
          <w:color w:val="000000"/>
          <w:sz w:val="24"/>
          <w:szCs w:val="24"/>
          <w:lang w:val="id-ID"/>
        </w:rPr>
        <w:t xml:space="preserve">First, this study extends the Resource-Based View by demonstrating that financial literacy is an essential, intangible microresource that can be leveraged to gain a competitive advantage in microenterprises. This bridges strategic management and entrepreneurial theory in the context of emerging markets, addressing a relationship that remains empirically underexplored using causal methods </w:t>
      </w:r>
      <w:sdt>
        <w:sdtPr>
          <w:rPr>
            <w:rFonts w:ascii="Cambria" w:eastAsia="Cambria" w:hAnsi="Cambria" w:cs="Cambria"/>
            <w:color w:val="000000"/>
            <w:sz w:val="24"/>
            <w:szCs w:val="24"/>
            <w:lang w:val="id-ID"/>
          </w:rPr>
          <w:tag w:val="MENDELEY_CITATION_v3_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"/>
          <w:id w:val="68627055"/>
          <w:placeholder>
            <w:docPart w:val="708400C2E7FA4989AA4DA5683B5F98B4"/>
          </w:placeholder>
        </w:sdtPr>
        <w:sdtEndPr/>
        <w:sdtContent>
          <w:r w:rsidRPr="00DE1AA2">
            <w:rPr>
              <w:rFonts w:ascii="Cambria" w:eastAsia="Cambria" w:hAnsi="Cambria" w:cs="Cambria"/>
              <w:color w:val="000000"/>
              <w:sz w:val="24"/>
              <w:szCs w:val="24"/>
              <w:lang w:val="id-ID"/>
            </w:rPr>
            <w:t>(Unger et al., 2023)</w:t>
          </w:r>
        </w:sdtContent>
      </w:sdt>
      <w:r w:rsidRPr="00450941">
        <w:rPr>
          <w:rFonts w:ascii="Cambria" w:eastAsia="Cambria" w:hAnsi="Cambria" w:cs="Cambria"/>
          <w:color w:val="000000"/>
          <w:sz w:val="24"/>
          <w:szCs w:val="24"/>
          <w:lang w:val="id-ID"/>
        </w:rPr>
        <w:t>.</w:t>
      </w:r>
    </w:p>
    <w:p w:rsidR="00F37199" w:rsidRPr="00450941" w:rsidRDefault="00CB6AA0" w:rsidP="00F37199">
      <w:pPr>
        <w:ind w:firstLine="567"/>
        <w:jc w:val="both"/>
        <w:rPr>
          <w:rFonts w:ascii="Cambria" w:eastAsia="Cambria" w:hAnsi="Cambria" w:cs="Cambria"/>
          <w:color w:val="000000"/>
          <w:sz w:val="24"/>
          <w:szCs w:val="24"/>
          <w:lang w:val="id-ID"/>
        </w:rPr>
      </w:pPr>
      <w:r w:rsidRPr="00450941">
        <w:rPr>
          <w:rFonts w:ascii="Cambria" w:eastAsia="Cambria" w:hAnsi="Cambria" w:cs="Cambria"/>
          <w:color w:val="000000"/>
          <w:sz w:val="24"/>
          <w:szCs w:val="24"/>
          <w:lang w:val="id-ID"/>
        </w:rPr>
        <w:t>Second, this study integrates financial literacy within the tripartite Intellectual Capital framework</w:t>
      </w:r>
      <w:r>
        <w:rPr>
          <w:rFonts w:ascii="Cambria" w:eastAsia="Cambria" w:hAnsi="Cambria" w:cs="Cambria"/>
          <w:color w:val="000000"/>
          <w:sz w:val="24"/>
          <w:szCs w:val="24"/>
          <w:lang w:val="id-ID"/>
        </w:rPr>
        <w:t xml:space="preserve">: </w:t>
      </w:r>
      <w:r w:rsidRPr="00450941">
        <w:rPr>
          <w:rFonts w:ascii="Cambria" w:eastAsia="Cambria" w:hAnsi="Cambria" w:cs="Cambria"/>
          <w:color w:val="000000"/>
          <w:sz w:val="24"/>
          <w:szCs w:val="24"/>
          <w:lang w:val="id-ID"/>
        </w:rPr>
        <w:t xml:space="preserve">Human Capital, Structural Capital, and Relational Capital. This integration provides a more nuanced understanding of how financial competencies translate into organizational performance through multiple pathways: (a) individual </w:t>
      </w:r>
      <w:r w:rsidRPr="00450941">
        <w:rPr>
          <w:rFonts w:ascii="Cambria" w:eastAsia="Cambria" w:hAnsi="Cambria" w:cs="Cambria"/>
          <w:color w:val="000000"/>
          <w:sz w:val="24"/>
          <w:szCs w:val="24"/>
          <w:lang w:val="id-ID"/>
        </w:rPr>
        <w:lastRenderedPageBreak/>
        <w:t>knowledge and skills (human capital), (b) organizational systems and processes (structural capital), and (c) external networks and relationships (relational capital).</w:t>
      </w:r>
    </w:p>
    <w:p w:rsidR="006C38A3" w:rsidRPr="00A24FAF" w:rsidRDefault="00CB6AA0" w:rsidP="00F37199">
      <w:pPr>
        <w:autoSpaceDE w:val="0"/>
        <w:autoSpaceDN w:val="0"/>
        <w:adjustRightInd w:val="0"/>
        <w:ind w:firstLine="567"/>
        <w:jc w:val="both"/>
        <w:rPr>
          <w:rFonts w:asciiTheme="minorHAnsi" w:hAnsiTheme="minorHAnsi"/>
          <w:sz w:val="24"/>
          <w:szCs w:val="24"/>
          <w:lang w:val="en-US"/>
        </w:rPr>
      </w:pPr>
      <w:r w:rsidRPr="00450941">
        <w:rPr>
          <w:rFonts w:ascii="Cambria" w:eastAsia="Cambria" w:hAnsi="Cambria" w:cs="Cambria"/>
          <w:color w:val="000000"/>
          <w:sz w:val="24"/>
          <w:szCs w:val="24"/>
          <w:lang w:val="id-ID"/>
        </w:rPr>
        <w:t xml:space="preserve">Third, this study advances the digital financial literacy discourse by demonstrating that digital literacy moderates the influence of financial technology on responsible financial behavior. The findings suggest that educational programs deliberately integrating digital literacy with financial literacy are key to promoting informed decision-making </w:t>
      </w:r>
      <w:sdt>
        <w:sdtPr>
          <w:rPr>
            <w:rFonts w:ascii="Cambria" w:eastAsia="Cambria" w:hAnsi="Cambria" w:cs="Cambria"/>
            <w:color w:val="000000"/>
            <w:sz w:val="24"/>
            <w:szCs w:val="24"/>
            <w:lang w:val="id-ID"/>
          </w:rPr>
          <w:tag w:val="MENDELEY_CITATION_v3_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"/>
          <w:id w:val="-662857378"/>
          <w:placeholder>
            <w:docPart w:val="708400C2E7FA4989AA4DA5683B5F98B4"/>
          </w:placeholder>
        </w:sdtPr>
        <w:sdtEndPr/>
        <w:sdtContent>
          <w:r w:rsidRPr="00DE1AA2">
            <w:rPr>
              <w:rFonts w:ascii="Cambria" w:hAnsi="Cambria"/>
              <w:color w:val="000000"/>
              <w:sz w:val="24"/>
            </w:rPr>
            <w:t>(Fadiyah &amp; Widodo, 2024; Mistry, 2025)</w:t>
          </w:r>
        </w:sdtContent>
      </w:sdt>
    </w:p>
    <w:p w:rsidR="007E2572" w:rsidRPr="00594886" w:rsidRDefault="00CB6AA0" w:rsidP="00594886">
      <w:pPr>
        <w:spacing w:before="240" w:after="120"/>
        <w:jc w:val="both"/>
        <w:rPr>
          <w:rFonts w:asciiTheme="minorHAnsi" w:hAnsiTheme="minorHAnsi"/>
          <w:b/>
          <w:bCs/>
          <w:sz w:val="24"/>
          <w:szCs w:val="24"/>
        </w:rPr>
      </w:pPr>
      <w:r w:rsidRPr="00594886">
        <w:rPr>
          <w:rFonts w:asciiTheme="minorHAnsi" w:hAnsiTheme="minorHAnsi"/>
          <w:b/>
          <w:bCs/>
          <w:sz w:val="24"/>
          <w:szCs w:val="24"/>
        </w:rPr>
        <w:t xml:space="preserve">CONCLUSION AND RECOMMENDATIONS </w:t>
      </w:r>
    </w:p>
    <w:p w:rsidR="00572E16" w:rsidRPr="006C623C" w:rsidRDefault="00CB6AA0" w:rsidP="00572E16">
      <w:pPr>
        <w:ind w:firstLine="567"/>
        <w:jc w:val="both"/>
        <w:rPr>
          <w:rFonts w:ascii="Cambria" w:eastAsia="Cambria" w:hAnsi="Cambria" w:cs="Cambria"/>
          <w:color w:val="000000"/>
          <w:sz w:val="24"/>
          <w:szCs w:val="24"/>
          <w:lang w:val="id-ID"/>
        </w:rPr>
      </w:pPr>
      <w:r w:rsidRPr="006C623C">
        <w:rPr>
          <w:rFonts w:ascii="Cambria" w:eastAsia="Cambria" w:hAnsi="Cambria" w:cs="Cambria"/>
          <w:color w:val="000000"/>
          <w:sz w:val="24"/>
          <w:szCs w:val="24"/>
          <w:lang w:val="id-ID"/>
        </w:rPr>
        <w:t>This study examined the effect of digital financial literacy on MSME performance in East Java using PLS-SEM analysis with 105 respondents. Three key findings emerge from the empirical analysis. First, digital financial literacy among East Java MSMEs remains critically low, with 47.6% of respondents in the low category. Investment literacy (mean score 2.8/5) and savings literacy (2.5/5) are the weakest dimensions, indicating significant knowledge gaps in long-term financial planning. Second, digital financial literacy has a positive and significant effect on MSME performance (β = 0.572, t = 9.938, p &lt; 0.001, R² = 0.327), confirming that higher financial literacy is associated with improved business outcomes. Third, the research model demonstrates robust psychometric properties: convergent validity (AVE &gt; 0.50), discriminant validity (HTMT = 0.584 &lt; 0.90), and internal consistency reliability (CR &gt; 0.93, α &gt; 0.92). Thus, the study concludes that digital financial literacy serves as a strategic capability that significantly enhances MSME performance in emerging economies.</w:t>
      </w:r>
    </w:p>
    <w:p w:rsidR="00572E16" w:rsidRPr="006C623C" w:rsidRDefault="00CB6AA0" w:rsidP="00572E16">
      <w:pPr>
        <w:ind w:firstLine="567"/>
        <w:jc w:val="both"/>
        <w:rPr>
          <w:rFonts w:ascii="Cambria" w:eastAsia="Cambria" w:hAnsi="Cambria" w:cs="Cambria"/>
          <w:color w:val="000000"/>
          <w:sz w:val="24"/>
          <w:szCs w:val="24"/>
          <w:lang w:val="id-ID"/>
        </w:rPr>
      </w:pPr>
      <w:r w:rsidRPr="006C623C">
        <w:rPr>
          <w:rFonts w:ascii="Cambria" w:eastAsia="Cambria" w:hAnsi="Cambria" w:cs="Cambria"/>
          <w:color w:val="000000"/>
          <w:sz w:val="24"/>
          <w:szCs w:val="24"/>
          <w:lang w:val="id-ID"/>
        </w:rPr>
        <w:t>This study offers three primary implications. Theoretically, this research extends the Resource-Based View (Barney, 1991) by demonstrating that financial literacy constitutes a valuable, rare, and difficult-to-imitate intangible resource for MSMEs in emerging economies. Furthermore, it integrates financial literacy within the tripartite Intellectual Capital framework (Edvinsson &amp; Malone, 1997; Bontis, 1998), revealing that financial competencies operate through human capital (individual knowledge, λ = 0.659-0.788), structural capital (organizational systems, R² = 0.327), and relational capital (external networks, HTMT = 0.584). In practice, for government and policymakers, the critically low literacy levels, particularly in the investment (2.8/5) and savings (2.5/5) dimensions, signal the need for targeted interventions prioritizing low-literacy regions such as Madura and Tapal Kuda, where literacy rates fall below 40%. For financial institutions, the strong path coefficient (β = 0.572) indicates that investing in MSME financial education is a strategic lever rather than a charitable activity, as financially literate MSMEs exhibit better credit repayment behavior and lower default rates. For MSME associations, financial literacy training should go beyond basic bookkeeping to include investment planning, risk management, and digital finance, with ongoing mentoring rather than one-time workshops.</w:t>
      </w:r>
    </w:p>
    <w:p w:rsidR="00572E16" w:rsidRDefault="00CB6AA0" w:rsidP="00572E16">
      <w:pPr>
        <w:ind w:firstLine="567"/>
        <w:jc w:val="both"/>
        <w:rPr>
          <w:rFonts w:ascii="Cambria" w:eastAsia="Cambria" w:hAnsi="Cambria" w:cs="Cambria"/>
          <w:color w:val="000000"/>
          <w:sz w:val="24"/>
          <w:szCs w:val="24"/>
          <w:lang w:val="id-ID"/>
        </w:rPr>
      </w:pPr>
      <w:r w:rsidRPr="006C623C">
        <w:rPr>
          <w:rFonts w:ascii="Cambria" w:eastAsia="Cambria" w:hAnsi="Cambria" w:cs="Cambria"/>
          <w:color w:val="000000"/>
          <w:sz w:val="24"/>
          <w:szCs w:val="24"/>
          <w:lang w:val="id-ID"/>
        </w:rPr>
        <w:t xml:space="preserve">This study has four limitations that inform future research directions. First, the cross-sectional design precludes definitive causal claims, as reverse causality remains possible where better-performing MSMEs may have more resources to invest in financial education. Future research should employ longitudinal designs with multiple time points (baseline, 12 months, 24 months) to establish temporal precedence and causal direction. Second, the sample size (N = 105) is relatively modest for generalizing to East Java's MSMEs. </w:t>
      </w:r>
    </w:p>
    <w:p w:rsidR="007E2572" w:rsidRDefault="00CB6AA0" w:rsidP="00572E16">
      <w:pPr>
        <w:autoSpaceDE w:val="0"/>
        <w:autoSpaceDN w:val="0"/>
        <w:adjustRightInd w:val="0"/>
        <w:ind w:firstLine="567"/>
        <w:jc w:val="both"/>
        <w:rPr>
          <w:rFonts w:ascii="Cambria" w:hAnsi="Cambria"/>
          <w:sz w:val="24"/>
          <w:szCs w:val="24"/>
          <w:shd w:val="clear" w:color="auto" w:fill="FFFFFF"/>
          <w:lang w:val="en-ID" w:eastAsia="en-US" w:bidi="th-TH"/>
        </w:rPr>
      </w:pPr>
      <w:r w:rsidRPr="00050818">
        <w:rPr>
          <w:rFonts w:ascii="Cambria" w:eastAsia="Cambria" w:hAnsi="Cambria" w:cs="Cambria"/>
          <w:color w:val="000000"/>
          <w:sz w:val="24"/>
          <w:szCs w:val="24"/>
          <w:lang w:val="id-ID"/>
        </w:rPr>
        <w:t xml:space="preserve">Suggestions for future research include employing longitudinal designs to establish causality and incorporating mediating variables (e.g., access to formal credit, strategic </w:t>
      </w:r>
      <w:r w:rsidRPr="00050818">
        <w:rPr>
          <w:rFonts w:ascii="Cambria" w:eastAsia="Cambria" w:hAnsi="Cambria" w:cs="Cambria"/>
          <w:color w:val="000000"/>
          <w:sz w:val="24"/>
          <w:szCs w:val="24"/>
          <w:lang w:val="id-ID"/>
        </w:rPr>
        <w:lastRenderedPageBreak/>
        <w:t>financial planning) and moderating factors (e.g., owner digital proficiency, market dynamics) to uncover the complex mechanisms through which financial literacy translates into sustainable growth. Furthermore, expanding the comparative scope to other regions with diverse economic profiles would enhance the generalizability of the findings, thereby reinforcing a roadmap for nationally scalable, context-sensitive MSME development strategies.</w:t>
      </w:r>
    </w:p>
    <w:p w:rsidR="00A24FAF" w:rsidRPr="00A24FAF" w:rsidRDefault="00CB6AA0" w:rsidP="00A24FAF">
      <w:pPr>
        <w:spacing w:before="240" w:after="120"/>
        <w:jc w:val="both"/>
        <w:rPr>
          <w:rFonts w:ascii="Cambria" w:eastAsia="Cambria" w:hAnsi="Cambria" w:cs="Cambria"/>
          <w:b/>
          <w:color w:val="000000"/>
          <w:sz w:val="24"/>
          <w:szCs w:val="24"/>
        </w:rPr>
      </w:pPr>
      <w:r w:rsidRPr="00A24FAF">
        <w:rPr>
          <w:rFonts w:ascii="Cambria" w:eastAsia="Cambria" w:hAnsi="Cambria" w:cs="Cambria"/>
          <w:b/>
          <w:color w:val="000000"/>
          <w:sz w:val="24"/>
          <w:szCs w:val="24"/>
        </w:rPr>
        <w:t>ACKNOWLEDGEMENTS</w:t>
      </w:r>
    </w:p>
    <w:p w:rsidR="00A24FAF" w:rsidRPr="00BB2F40" w:rsidRDefault="00CB6AA0" w:rsidP="00A24FAF">
      <w:pPr>
        <w:autoSpaceDE w:val="0"/>
        <w:autoSpaceDN w:val="0"/>
        <w:adjustRightInd w:val="0"/>
        <w:ind w:firstLine="567"/>
        <w:jc w:val="both"/>
        <w:rPr>
          <w:rFonts w:ascii="Cambria" w:hAnsi="Cambria"/>
          <w:sz w:val="24"/>
          <w:szCs w:val="24"/>
          <w:shd w:val="clear" w:color="auto" w:fill="FFFFFF"/>
          <w:lang w:val="en-ID" w:eastAsia="en-US" w:bidi="th-TH"/>
        </w:rPr>
      </w:pPr>
      <w:r w:rsidRPr="00450941">
        <w:rPr>
          <w:rFonts w:ascii="Cambria" w:eastAsia="Cambria" w:hAnsi="Cambria" w:cs="Cambria"/>
          <w:color w:val="000000"/>
          <w:sz w:val="24"/>
          <w:szCs w:val="24"/>
        </w:rPr>
        <w:t>The author extends heartfelt thanks to the Department of Administrative Science, Faculty of Social and Political Sciences, Universitas Jember, for its generous institutional support and the enabling environment that greatly facilitated this research. The department's commitment to scholarly excellence has been a constant source of motivation.</w:t>
      </w:r>
    </w:p>
    <w:p w:rsidR="00CE6E3E" w:rsidRDefault="00CB6AA0" w:rsidP="002C033D">
      <w:pPr>
        <w:spacing w:before="240" w:after="120"/>
        <w:jc w:val="both"/>
        <w:rPr>
          <w:rFonts w:ascii="Cambria" w:eastAsia="Cambria" w:hAnsi="Cambria" w:cs="Cambria"/>
          <w:b/>
          <w:sz w:val="24"/>
          <w:szCs w:val="24"/>
        </w:rPr>
      </w:pPr>
      <w:r>
        <w:rPr>
          <w:rFonts w:ascii="Cambria" w:eastAsia="Cambria" w:hAnsi="Cambria" w:cs="Cambria"/>
          <w:b/>
          <w:color w:val="000000"/>
          <w:sz w:val="24"/>
          <w:szCs w:val="24"/>
        </w:rPr>
        <w:t>REFERENCES</w:t>
      </w:r>
    </w:p>
    <w:p w:rsidR="002C033D" w:rsidRPr="002C033D" w:rsidRDefault="00CB6AA0" w:rsidP="002C033D">
      <w:pPr>
        <w:spacing w:after="240"/>
        <w:ind w:left="567" w:hanging="567"/>
        <w:contextualSpacing/>
        <w:jc w:val="both"/>
        <w:rPr>
          <w:rFonts w:ascii="Cambria" w:hAnsi="Cambria"/>
          <w:sz w:val="24"/>
          <w:szCs w:val="24"/>
        </w:rPr>
      </w:pPr>
      <w:bookmarkStart w:id="4" w:name="_Hlk232062393"/>
      <w:r w:rsidRPr="005809ED">
        <w:rPr>
          <w:rFonts w:ascii="Cambria" w:hAnsi="Cambria"/>
          <w:sz w:val="24"/>
          <w:szCs w:val="24"/>
          <w:lang w:val="en-ID"/>
        </w:rPr>
        <w:t xml:space="preserve">Anggraini, R. I., Maarif, M. S., Asikin, Z., &amp; Sukmawati, A. (2025). </w:t>
      </w:r>
      <w:r w:rsidRPr="002C033D">
        <w:rPr>
          <w:rFonts w:ascii="Cambria" w:hAnsi="Cambria"/>
          <w:sz w:val="24"/>
          <w:szCs w:val="24"/>
        </w:rPr>
        <w:t xml:space="preserve">Integrating Intellectual Capital and Entrepreneurship Ecosystems to Enhance Community-Based MSMEs Performance: A Soft Systems Methodology Approach. </w:t>
      </w:r>
      <w:r w:rsidRPr="002C033D">
        <w:rPr>
          <w:rFonts w:ascii="Cambria" w:hAnsi="Cambria"/>
          <w:i/>
          <w:sz w:val="24"/>
          <w:szCs w:val="24"/>
        </w:rPr>
        <w:t>Journal of Information Systems Engineering and Management</w:t>
      </w:r>
      <w:r w:rsidRPr="002C033D">
        <w:rPr>
          <w:rFonts w:ascii="Cambria" w:hAnsi="Cambria"/>
          <w:sz w:val="24"/>
          <w:szCs w:val="24"/>
        </w:rPr>
        <w:t xml:space="preserve">, 10(3). </w:t>
      </w:r>
      <w:hyperlink r:id="rId17" w:history="1">
        <w:r w:rsidRPr="002C033D">
          <w:rPr>
            <w:rStyle w:val="Hyperlink"/>
            <w:rFonts w:ascii="Cambria" w:hAnsi="Cambria"/>
            <w:color w:val="auto"/>
            <w:sz w:val="24"/>
            <w:szCs w:val="24"/>
          </w:rPr>
          <w:t>https://doi.org/10.29333/jisem/14115</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Ansong, A., &amp; Gyensare, M. A. (2012). Determinants of University Students' Financial Literacy. </w:t>
      </w:r>
      <w:r w:rsidRPr="002C033D">
        <w:rPr>
          <w:rFonts w:ascii="Cambria" w:hAnsi="Cambria"/>
          <w:i/>
          <w:sz w:val="24"/>
          <w:szCs w:val="24"/>
        </w:rPr>
        <w:t>International Journal of Business and Management</w:t>
      </w:r>
      <w:r w:rsidRPr="002C033D">
        <w:rPr>
          <w:rFonts w:ascii="Cambria" w:hAnsi="Cambria"/>
          <w:sz w:val="24"/>
          <w:szCs w:val="24"/>
        </w:rPr>
        <w:t xml:space="preserve">, 7(9), 189–199. </w:t>
      </w:r>
      <w:hyperlink r:id="rId18" w:history="1">
        <w:r w:rsidRPr="002C033D">
          <w:rPr>
            <w:rStyle w:val="Hyperlink"/>
            <w:rFonts w:ascii="Cambria" w:hAnsi="Cambria"/>
            <w:color w:val="auto"/>
            <w:sz w:val="24"/>
            <w:szCs w:val="24"/>
          </w:rPr>
          <w:t>https://doi.org/10.5539/ijbm.v7n9p189</w:t>
        </w:r>
      </w:hyperlink>
      <w:r w:rsidRPr="002C033D">
        <w:rPr>
          <w:rFonts w:ascii="Cambria" w:hAnsi="Cambria"/>
          <w:sz w:val="24"/>
          <w:szCs w:val="24"/>
        </w:rPr>
        <w:t xml:space="preserve"> </w:t>
      </w:r>
    </w:p>
    <w:p w:rsidR="002C033D" w:rsidRPr="005809E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lang w:val="fi-FI"/>
        </w:rPr>
        <w:t xml:space="preserve">Aprinawati, A., Putri, S. A., Abdullah, F., Alfandi, R., &amp; Elma, P. (2023). </w:t>
      </w:r>
      <w:r w:rsidRPr="002C033D">
        <w:rPr>
          <w:rFonts w:ascii="Cambria" w:hAnsi="Cambria"/>
          <w:sz w:val="24"/>
          <w:szCs w:val="24"/>
        </w:rPr>
        <w:t xml:space="preserve">Strategi Manajemen Sumber Daya Manusia dalam Meningkatkan Keunggulan Bersaing Perusahaan. </w:t>
      </w:r>
      <w:r w:rsidRPr="005809ED">
        <w:rPr>
          <w:rFonts w:ascii="Cambria" w:hAnsi="Cambria"/>
          <w:i/>
          <w:sz w:val="24"/>
          <w:szCs w:val="24"/>
        </w:rPr>
        <w:t>Lokawati</w:t>
      </w:r>
      <w:r w:rsidRPr="005809ED">
        <w:rPr>
          <w:rFonts w:ascii="Cambria" w:hAnsi="Cambria"/>
          <w:sz w:val="24"/>
          <w:szCs w:val="24"/>
        </w:rPr>
        <w:t xml:space="preserve">, 2(1), 238–247. </w:t>
      </w:r>
      <w:hyperlink r:id="rId19" w:history="1">
        <w:r w:rsidRPr="005809ED">
          <w:rPr>
            <w:rStyle w:val="Hyperlink"/>
            <w:rFonts w:ascii="Cambria" w:hAnsi="Cambria"/>
            <w:color w:val="auto"/>
            <w:sz w:val="24"/>
            <w:szCs w:val="24"/>
          </w:rPr>
          <w:t>https://doi.org/10.61132/lokawati.v2i1.515</w:t>
        </w:r>
      </w:hyperlink>
      <w:r w:rsidRPr="005809E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5809ED">
        <w:rPr>
          <w:rFonts w:ascii="Cambria" w:hAnsi="Cambria"/>
          <w:sz w:val="24"/>
          <w:szCs w:val="24"/>
        </w:rPr>
        <w:t xml:space="preserve">Aribawa, D. (2016). Pengaruh Literasi Keuangan Terhadap Kinerja dan Keberlangsungan UMKM. </w:t>
      </w:r>
      <w:r w:rsidRPr="002C033D">
        <w:rPr>
          <w:rFonts w:ascii="Cambria" w:hAnsi="Cambria"/>
          <w:i/>
          <w:sz w:val="24"/>
          <w:szCs w:val="24"/>
        </w:rPr>
        <w:t>Jurnal Siasat Bisnis</w:t>
      </w:r>
      <w:r w:rsidRPr="002C033D">
        <w:rPr>
          <w:rFonts w:ascii="Cambria" w:hAnsi="Cambria"/>
          <w:sz w:val="24"/>
          <w:szCs w:val="24"/>
        </w:rPr>
        <w:t xml:space="preserve">, 20(1), 1–13. </w:t>
      </w:r>
      <w:hyperlink r:id="rId20" w:history="1">
        <w:r w:rsidRPr="002C033D">
          <w:rPr>
            <w:rStyle w:val="Hyperlink"/>
            <w:rFonts w:ascii="Cambria" w:hAnsi="Cambria"/>
            <w:color w:val="auto"/>
            <w:sz w:val="24"/>
            <w:szCs w:val="24"/>
          </w:rPr>
          <w:t>https://doi.org/10.20885/jsb.vol20.iss1.art1</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Asmawati, Laba, A. R., Dewi, A. R. S., &amp; Alamzah, N. (2025). The Influence of Dynamic Capabilities, Financial Literacy, and Financial Inclusion on Sustainability of MSMEs in East Kalimantan. </w:t>
      </w:r>
      <w:r w:rsidRPr="002C033D">
        <w:rPr>
          <w:rFonts w:ascii="Cambria" w:hAnsi="Cambria"/>
          <w:i/>
          <w:sz w:val="24"/>
          <w:szCs w:val="24"/>
        </w:rPr>
        <w:t>Global Business and Finance Review</w:t>
      </w:r>
      <w:r w:rsidRPr="002C033D">
        <w:rPr>
          <w:rFonts w:ascii="Cambria" w:hAnsi="Cambria"/>
          <w:sz w:val="24"/>
          <w:szCs w:val="24"/>
        </w:rPr>
        <w:t xml:space="preserve">, 30(10), 216–234. </w:t>
      </w:r>
      <w:hyperlink r:id="rId21" w:history="1">
        <w:r w:rsidRPr="002C033D">
          <w:rPr>
            <w:rStyle w:val="Hyperlink"/>
            <w:rFonts w:ascii="Cambria" w:hAnsi="Cambria"/>
            <w:color w:val="auto"/>
            <w:sz w:val="24"/>
            <w:szCs w:val="24"/>
          </w:rPr>
          <w:t>https://doi.org/10.17549/gbfr.2025.30.10.216</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Bangun, W. (2012). </w:t>
      </w:r>
      <w:r w:rsidRPr="002C033D">
        <w:rPr>
          <w:rFonts w:ascii="Cambria" w:hAnsi="Cambria"/>
          <w:i/>
          <w:sz w:val="24"/>
          <w:szCs w:val="24"/>
        </w:rPr>
        <w:t>Manajemen Sumber Daya Manusia</w:t>
      </w:r>
      <w:r w:rsidRPr="002C033D">
        <w:rPr>
          <w:rFonts w:ascii="Cambria" w:hAnsi="Cambria"/>
          <w:sz w:val="24"/>
          <w:szCs w:val="24"/>
        </w:rPr>
        <w:t>. Erlangga.</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Barney, Jay. (1991). Firm Resources and Sustained Competitive Advantage. </w:t>
      </w:r>
      <w:r w:rsidRPr="002C033D">
        <w:rPr>
          <w:rFonts w:ascii="Cambria" w:hAnsi="Cambria"/>
          <w:i/>
          <w:sz w:val="24"/>
          <w:szCs w:val="24"/>
        </w:rPr>
        <w:t>Journal of Management</w:t>
      </w:r>
      <w:r w:rsidRPr="002C033D">
        <w:rPr>
          <w:rFonts w:ascii="Cambria" w:hAnsi="Cambria"/>
          <w:sz w:val="24"/>
          <w:szCs w:val="24"/>
        </w:rPr>
        <w:t xml:space="preserve">, 17(1), 99–120. </w:t>
      </w:r>
      <w:hyperlink r:id="rId22" w:history="1">
        <w:r w:rsidRPr="002C033D">
          <w:rPr>
            <w:rStyle w:val="Hyperlink"/>
            <w:rFonts w:ascii="Cambria" w:hAnsi="Cambria"/>
            <w:color w:val="auto"/>
            <w:sz w:val="24"/>
            <w:szCs w:val="24"/>
          </w:rPr>
          <w:t>https://doi.org/10.1177/014920639101700108</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Ben Douissa, I. (2019). Factors Affecting College Students’ Multidimensional Financial Literacy in the Middle East. </w:t>
      </w:r>
      <w:r w:rsidRPr="002C033D">
        <w:rPr>
          <w:rFonts w:ascii="Cambria" w:hAnsi="Cambria"/>
          <w:i/>
          <w:sz w:val="24"/>
          <w:szCs w:val="24"/>
        </w:rPr>
        <w:t>International Review of Economics Education</w:t>
      </w:r>
      <w:r w:rsidRPr="002C033D">
        <w:rPr>
          <w:rFonts w:ascii="Cambria" w:hAnsi="Cambria"/>
          <w:sz w:val="24"/>
          <w:szCs w:val="24"/>
        </w:rPr>
        <w:t xml:space="preserve">, 35, 100173. </w:t>
      </w:r>
      <w:hyperlink r:id="rId23" w:history="1">
        <w:r w:rsidRPr="002C033D">
          <w:rPr>
            <w:rStyle w:val="Hyperlink"/>
            <w:rFonts w:ascii="Cambria" w:hAnsi="Cambria"/>
            <w:color w:val="auto"/>
            <w:sz w:val="24"/>
            <w:szCs w:val="24"/>
          </w:rPr>
          <w:t>https://doi.org/10.1016/j.iree.2019.100173</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Bernatska, N., Dzhumelia, E., Kochan, O., &amp; Salamon, I. (2025). Digital Economy and Smart Financial Management: Using AI Tools for Financial Literacy. </w:t>
      </w:r>
      <w:r w:rsidRPr="002C033D">
        <w:rPr>
          <w:rFonts w:ascii="Cambria" w:hAnsi="Cambria"/>
          <w:i/>
          <w:sz w:val="24"/>
          <w:szCs w:val="24"/>
        </w:rPr>
        <w:t>Advances in Transdisciplinary Engineering</w:t>
      </w:r>
      <w:r w:rsidRPr="002C033D">
        <w:rPr>
          <w:rFonts w:ascii="Cambria" w:hAnsi="Cambria"/>
          <w:sz w:val="24"/>
          <w:szCs w:val="24"/>
        </w:rPr>
        <w:t xml:space="preserve">. </w:t>
      </w:r>
      <w:hyperlink r:id="rId24" w:history="1">
        <w:r w:rsidRPr="002C033D">
          <w:rPr>
            <w:rStyle w:val="Hyperlink"/>
            <w:rFonts w:ascii="Cambria" w:hAnsi="Cambria"/>
            <w:color w:val="auto"/>
            <w:sz w:val="24"/>
            <w:szCs w:val="24"/>
          </w:rPr>
          <w:t>https://doi.org/10.3233/atde250123</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Bontis, N. (1998). Intellectual capital: an exploratory study that develops measures and models. </w:t>
      </w:r>
      <w:r w:rsidRPr="002C033D">
        <w:rPr>
          <w:rFonts w:ascii="Cambria" w:hAnsi="Cambria"/>
          <w:i/>
          <w:sz w:val="24"/>
          <w:szCs w:val="24"/>
        </w:rPr>
        <w:t>Management Decision</w:t>
      </w:r>
      <w:r w:rsidRPr="002C033D">
        <w:rPr>
          <w:rFonts w:ascii="Cambria" w:hAnsi="Cambria"/>
          <w:sz w:val="24"/>
          <w:szCs w:val="24"/>
        </w:rPr>
        <w:t xml:space="preserve">, 36(2), 63–76. </w:t>
      </w:r>
      <w:hyperlink r:id="rId25" w:history="1">
        <w:r w:rsidRPr="002C033D">
          <w:rPr>
            <w:rStyle w:val="Hyperlink"/>
            <w:rFonts w:ascii="Cambria" w:hAnsi="Cambria"/>
            <w:color w:val="auto"/>
            <w:sz w:val="24"/>
            <w:szCs w:val="24"/>
          </w:rPr>
          <w:t>https://doi.org/10.1108/00251749810204142</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Edvinsson, L., &amp; Malone, M. S. (1997). </w:t>
      </w:r>
      <w:r w:rsidRPr="002C033D">
        <w:rPr>
          <w:rFonts w:ascii="Cambria" w:hAnsi="Cambria"/>
          <w:i/>
          <w:sz w:val="24"/>
          <w:szCs w:val="24"/>
        </w:rPr>
        <w:t>Intellectual Capital: Realizing Your Company’s True Value by Finding Its Hidden Brainpower</w:t>
      </w:r>
      <w:r w:rsidRPr="002C033D">
        <w:rPr>
          <w:rFonts w:ascii="Cambria" w:hAnsi="Cambria"/>
          <w:sz w:val="24"/>
          <w:szCs w:val="24"/>
        </w:rPr>
        <w:t>. HarperBusiness.</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lastRenderedPageBreak/>
        <w:t xml:space="preserve">Engels, C., Kumar, K., &amp; Philip, D. (2020). Financial literacy and fraud detection*. </w:t>
      </w:r>
      <w:r w:rsidRPr="002C033D">
        <w:rPr>
          <w:rFonts w:ascii="Cambria" w:hAnsi="Cambria"/>
          <w:i/>
          <w:sz w:val="24"/>
          <w:szCs w:val="24"/>
        </w:rPr>
        <w:t>The European Journal of Finance</w:t>
      </w:r>
      <w:r w:rsidRPr="002C033D">
        <w:rPr>
          <w:rFonts w:ascii="Cambria" w:hAnsi="Cambria"/>
          <w:sz w:val="24"/>
          <w:szCs w:val="24"/>
        </w:rPr>
        <w:t xml:space="preserve">, 26(4–5), 420–442. </w:t>
      </w:r>
      <w:hyperlink r:id="rId26" w:history="1">
        <w:r w:rsidRPr="002C033D">
          <w:rPr>
            <w:rStyle w:val="Hyperlink"/>
            <w:rFonts w:ascii="Cambria" w:hAnsi="Cambria"/>
            <w:color w:val="auto"/>
            <w:sz w:val="24"/>
            <w:szCs w:val="24"/>
          </w:rPr>
          <w:t>https://doi.org/10.1080/1351847X.2019.1646666</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Fadiyah, N. L., &amp; Widodo, H. (2024). Financial Technology and Literacy Shaping Students’ Financial Management with Digital Literacy. </w:t>
      </w:r>
      <w:r w:rsidRPr="002C033D">
        <w:rPr>
          <w:rFonts w:ascii="Cambria" w:hAnsi="Cambria"/>
          <w:i/>
          <w:sz w:val="24"/>
          <w:szCs w:val="24"/>
        </w:rPr>
        <w:t>Indonesian Journal of Law and Economics Review</w:t>
      </w:r>
      <w:r w:rsidRPr="002C033D">
        <w:rPr>
          <w:rFonts w:ascii="Cambria" w:hAnsi="Cambria"/>
          <w:sz w:val="24"/>
          <w:szCs w:val="24"/>
        </w:rPr>
        <w:t xml:space="preserve">. </w:t>
      </w:r>
      <w:hyperlink r:id="rId27" w:history="1">
        <w:r w:rsidRPr="002C033D">
          <w:rPr>
            <w:rStyle w:val="Hyperlink"/>
            <w:rFonts w:ascii="Cambria" w:hAnsi="Cambria"/>
            <w:color w:val="auto"/>
            <w:sz w:val="24"/>
            <w:szCs w:val="24"/>
          </w:rPr>
          <w:t>https://doi.org/10.21070/ijler.v19i4.1160</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lang w:val="fi-FI"/>
        </w:rPr>
      </w:pPr>
      <w:r w:rsidRPr="002C033D">
        <w:rPr>
          <w:rFonts w:ascii="Cambria" w:hAnsi="Cambria"/>
          <w:sz w:val="24"/>
          <w:szCs w:val="24"/>
          <w:lang w:val="fi-FI"/>
        </w:rPr>
        <w:t xml:space="preserve">Fahmi, I. (2015). </w:t>
      </w:r>
      <w:r w:rsidRPr="002C033D">
        <w:rPr>
          <w:rFonts w:ascii="Cambria" w:hAnsi="Cambria"/>
          <w:i/>
          <w:sz w:val="24"/>
          <w:szCs w:val="24"/>
          <w:lang w:val="fi-FI"/>
        </w:rPr>
        <w:t>Manajemen Investasi</w:t>
      </w:r>
      <w:r w:rsidRPr="002C033D">
        <w:rPr>
          <w:rFonts w:ascii="Cambria" w:hAnsi="Cambria"/>
          <w:sz w:val="24"/>
          <w:szCs w:val="24"/>
          <w:lang w:val="fi-FI"/>
        </w:rPr>
        <w:t>. Salemba Empat.</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Hair, J. F., Black, W. C., Babin, B. J., &amp; Anderson, R. E. (2019). </w:t>
      </w:r>
      <w:r w:rsidRPr="002C033D">
        <w:rPr>
          <w:rFonts w:ascii="Cambria" w:hAnsi="Cambria"/>
          <w:i/>
          <w:sz w:val="24"/>
          <w:szCs w:val="24"/>
        </w:rPr>
        <w:t>Multivariate Data Analysis</w:t>
      </w:r>
      <w:r w:rsidRPr="002C033D">
        <w:rPr>
          <w:rFonts w:ascii="Cambria" w:hAnsi="Cambria"/>
          <w:sz w:val="24"/>
          <w:szCs w:val="24"/>
        </w:rPr>
        <w:t xml:space="preserve"> (8th ed.). Cengage Learning.</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Hair, J. F., Risher, J. J., Sarstedt, M., &amp; Ringle, C. M. (2019). When to use and how to report the results of PLS-SEM. </w:t>
      </w:r>
      <w:r w:rsidRPr="002C033D">
        <w:rPr>
          <w:rFonts w:ascii="Cambria" w:hAnsi="Cambria"/>
          <w:i/>
          <w:sz w:val="24"/>
          <w:szCs w:val="24"/>
        </w:rPr>
        <w:t>European Business Review</w:t>
      </w:r>
      <w:r w:rsidRPr="002C033D">
        <w:rPr>
          <w:rFonts w:ascii="Cambria" w:hAnsi="Cambria"/>
          <w:sz w:val="24"/>
          <w:szCs w:val="24"/>
        </w:rPr>
        <w:t xml:space="preserve">, 31(1), 2–24. </w:t>
      </w:r>
      <w:hyperlink r:id="rId28" w:history="1">
        <w:r w:rsidRPr="002C033D">
          <w:rPr>
            <w:rStyle w:val="Hyperlink"/>
            <w:rFonts w:ascii="Cambria" w:hAnsi="Cambria"/>
            <w:color w:val="auto"/>
            <w:sz w:val="24"/>
            <w:szCs w:val="24"/>
          </w:rPr>
          <w:t>https://doi.org/10.1108/EBR-11-2018-0203</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lang w:val="fi-FI"/>
        </w:rPr>
      </w:pPr>
      <w:r w:rsidRPr="002C033D">
        <w:rPr>
          <w:rFonts w:ascii="Cambria" w:hAnsi="Cambria"/>
          <w:sz w:val="24"/>
          <w:szCs w:val="24"/>
        </w:rPr>
        <w:t xml:space="preserve">Kasmir. (2016). </w:t>
      </w:r>
      <w:r w:rsidRPr="002C033D">
        <w:rPr>
          <w:rFonts w:ascii="Cambria" w:hAnsi="Cambria"/>
          <w:i/>
          <w:sz w:val="24"/>
          <w:szCs w:val="24"/>
        </w:rPr>
        <w:t>Manajemen Sumber Daya Manusia: Teori dan Praktik</w:t>
      </w:r>
      <w:r w:rsidRPr="002C033D">
        <w:rPr>
          <w:rFonts w:ascii="Cambria" w:hAnsi="Cambria"/>
          <w:sz w:val="24"/>
          <w:szCs w:val="24"/>
        </w:rPr>
        <w:t xml:space="preserve">. </w:t>
      </w:r>
      <w:r w:rsidRPr="002C033D">
        <w:rPr>
          <w:rFonts w:ascii="Cambria" w:hAnsi="Cambria"/>
          <w:sz w:val="24"/>
          <w:szCs w:val="24"/>
          <w:lang w:val="fi-FI"/>
        </w:rPr>
        <w:t>PT. Raja Grafindo.</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lang w:val="fi-FI"/>
        </w:rPr>
        <w:t xml:space="preserve">Kurnia, S., Khusaini, M., Manzilati, A., &amp; Satria, D. (2024). </w:t>
      </w:r>
      <w:r w:rsidRPr="002C033D">
        <w:rPr>
          <w:rFonts w:ascii="Cambria" w:hAnsi="Cambria"/>
          <w:sz w:val="24"/>
          <w:szCs w:val="24"/>
        </w:rPr>
        <w:t xml:space="preserve">MSMEs’ Digital Competence and Financial Literacy Analysis in East Java, Indonesia. </w:t>
      </w:r>
      <w:r w:rsidRPr="002C033D">
        <w:rPr>
          <w:rFonts w:ascii="Cambria" w:hAnsi="Cambria"/>
          <w:i/>
          <w:sz w:val="24"/>
          <w:szCs w:val="24"/>
        </w:rPr>
        <w:t>Migration Letters</w:t>
      </w:r>
      <w:r w:rsidRPr="002C033D">
        <w:rPr>
          <w:rFonts w:ascii="Cambria" w:hAnsi="Cambria"/>
          <w:sz w:val="24"/>
          <w:szCs w:val="24"/>
        </w:rPr>
        <w:t xml:space="preserve">, 21(S2), 133–147. </w:t>
      </w:r>
      <w:hyperlink r:id="rId29" w:history="1">
        <w:r w:rsidRPr="002C033D">
          <w:rPr>
            <w:rStyle w:val="Hyperlink"/>
            <w:rFonts w:ascii="Cambria" w:hAnsi="Cambria"/>
            <w:color w:val="auto"/>
            <w:sz w:val="24"/>
            <w:szCs w:val="24"/>
          </w:rPr>
          <w:t>https://doi.org/10.59670/ml.v21iS2.9876</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Lusardi, A., &amp; Mitchell, O. S. (2014). The Economic Importance of Financial Literacy: Theory and Evidence. </w:t>
      </w:r>
      <w:r w:rsidRPr="002C033D">
        <w:rPr>
          <w:rFonts w:ascii="Cambria" w:hAnsi="Cambria"/>
          <w:i/>
          <w:sz w:val="24"/>
          <w:szCs w:val="24"/>
        </w:rPr>
        <w:t>Journal of Economic Literature</w:t>
      </w:r>
      <w:r w:rsidRPr="002C033D">
        <w:rPr>
          <w:rFonts w:ascii="Cambria" w:hAnsi="Cambria"/>
          <w:sz w:val="24"/>
          <w:szCs w:val="24"/>
        </w:rPr>
        <w:t xml:space="preserve">, 52(1), 5–44. </w:t>
      </w:r>
      <w:hyperlink r:id="rId30" w:history="1">
        <w:r w:rsidRPr="002C033D">
          <w:rPr>
            <w:rStyle w:val="Hyperlink"/>
            <w:rFonts w:ascii="Cambria" w:hAnsi="Cambria"/>
            <w:color w:val="auto"/>
            <w:sz w:val="24"/>
            <w:szCs w:val="24"/>
          </w:rPr>
          <w:t>https://doi.org/10.1257/jel.52.1.5</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Mendez-Picazo, M.-T., Galindo-Martin, M.-A., &amp; Castano-Martinez, M.-S. (2021). Effects of sociocultural and economic factors on social entrepreneurship and sustainable development. </w:t>
      </w:r>
      <w:r w:rsidRPr="002C033D">
        <w:rPr>
          <w:rFonts w:ascii="Cambria" w:hAnsi="Cambria"/>
          <w:i/>
          <w:sz w:val="24"/>
          <w:szCs w:val="24"/>
        </w:rPr>
        <w:t>Journal of Innovation &amp; Knowledge</w:t>
      </w:r>
      <w:r w:rsidRPr="002C033D">
        <w:rPr>
          <w:rFonts w:ascii="Cambria" w:hAnsi="Cambria"/>
          <w:sz w:val="24"/>
          <w:szCs w:val="24"/>
        </w:rPr>
        <w:t xml:space="preserve">, 6(2), 69–77. </w:t>
      </w:r>
      <w:hyperlink r:id="rId31" w:history="1">
        <w:r w:rsidRPr="002C033D">
          <w:rPr>
            <w:rStyle w:val="Hyperlink"/>
            <w:rFonts w:ascii="Cambria" w:hAnsi="Cambria"/>
            <w:color w:val="auto"/>
            <w:sz w:val="24"/>
            <w:szCs w:val="24"/>
          </w:rPr>
          <w:t>https://doi.org/10.1016/j.jik.2020.06.001</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Mistry, V. (2025). Financial Literacy for The Digital Age: Make Better Money Decisions. </w:t>
      </w:r>
      <w:hyperlink r:id="rId32" w:history="1">
        <w:r w:rsidRPr="002C033D">
          <w:rPr>
            <w:rStyle w:val="Hyperlink"/>
            <w:rFonts w:ascii="Cambria" w:hAnsi="Cambria"/>
            <w:color w:val="auto"/>
            <w:sz w:val="24"/>
            <w:szCs w:val="24"/>
          </w:rPr>
          <w:t>https://doi.org/10.21203/rs.3.rs-7535443/v1</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Morgan, G. (1988). Accounting as reality construction: towards a new epistemology for accounting practice*. </w:t>
      </w:r>
      <w:r w:rsidRPr="002C033D">
        <w:rPr>
          <w:rFonts w:ascii="Cambria" w:hAnsi="Cambria"/>
          <w:i/>
          <w:sz w:val="24"/>
          <w:szCs w:val="24"/>
        </w:rPr>
        <w:t>Accounting Organizations and Society</w:t>
      </w:r>
      <w:r w:rsidRPr="002C033D">
        <w:rPr>
          <w:rFonts w:ascii="Cambria" w:hAnsi="Cambria"/>
          <w:sz w:val="24"/>
          <w:szCs w:val="24"/>
        </w:rPr>
        <w:t xml:space="preserve">, 13(5), 477–485. </w:t>
      </w:r>
      <w:hyperlink r:id="rId33" w:history="1">
        <w:r w:rsidRPr="002C033D">
          <w:rPr>
            <w:rStyle w:val="Hyperlink"/>
            <w:rFonts w:ascii="Cambria" w:hAnsi="Cambria"/>
            <w:color w:val="auto"/>
            <w:sz w:val="24"/>
            <w:szCs w:val="24"/>
          </w:rPr>
          <w:t>https://doi.org/10.1016/0361-3682(88)90018-9</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Nahapiet, J., &amp; Ghoshal, S. (1998). Social capital, intellectual capital, and the organizational advantage. </w:t>
      </w:r>
      <w:r w:rsidRPr="002C033D">
        <w:rPr>
          <w:rFonts w:ascii="Cambria" w:hAnsi="Cambria"/>
          <w:i/>
          <w:sz w:val="24"/>
          <w:szCs w:val="24"/>
        </w:rPr>
        <w:t>Academy of Management Review</w:t>
      </w:r>
      <w:r w:rsidRPr="002C033D">
        <w:rPr>
          <w:rFonts w:ascii="Cambria" w:hAnsi="Cambria"/>
          <w:sz w:val="24"/>
          <w:szCs w:val="24"/>
        </w:rPr>
        <w:t xml:space="preserve">, 23(2), 242–266. </w:t>
      </w:r>
      <w:hyperlink r:id="rId34" w:history="1">
        <w:r w:rsidRPr="002C033D">
          <w:rPr>
            <w:rStyle w:val="Hyperlink"/>
            <w:rFonts w:ascii="Cambria" w:hAnsi="Cambria"/>
            <w:color w:val="auto"/>
            <w:sz w:val="24"/>
            <w:szCs w:val="24"/>
          </w:rPr>
          <w:t>https://doi.org/10.5465/amr.1998.533225</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Nurmahadi, N., Wahyutomo, D., Hakim, L., &amp; Zikri, I. F. M. (2024). UMKM Berdaya: Kreativitas Berbasis Internet dan Pemasaran Digital di Desa Tenggayun. </w:t>
      </w:r>
      <w:r w:rsidRPr="002C033D">
        <w:rPr>
          <w:rFonts w:ascii="Cambria" w:hAnsi="Cambria"/>
          <w:i/>
          <w:sz w:val="24"/>
          <w:szCs w:val="24"/>
        </w:rPr>
        <w:t>Jurnal Abdimas Indonesia, Banyumas</w:t>
      </w:r>
      <w:r w:rsidRPr="002C033D">
        <w:rPr>
          <w:rFonts w:ascii="Cambria" w:hAnsi="Cambria"/>
          <w:sz w:val="24"/>
          <w:szCs w:val="24"/>
        </w:rPr>
        <w:t xml:space="preserve">, 2(4), 102–113. </w:t>
      </w:r>
      <w:hyperlink r:id="rId35" w:history="1">
        <w:r w:rsidRPr="002C033D">
          <w:rPr>
            <w:rStyle w:val="Hyperlink"/>
            <w:rFonts w:ascii="Cambria" w:hAnsi="Cambria"/>
            <w:color w:val="auto"/>
            <w:sz w:val="24"/>
            <w:szCs w:val="24"/>
          </w:rPr>
          <w:t>https://doi.org/10.59841/jurai.v2i4.2166</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Rani, J., Guru, R., Santhanam, S., &amp; Mitra, B. (2025). Advancing Financial Literacy in the Digital Age. </w:t>
      </w:r>
      <w:r w:rsidRPr="002C033D">
        <w:rPr>
          <w:rFonts w:ascii="Cambria" w:hAnsi="Cambria"/>
          <w:i/>
          <w:sz w:val="24"/>
          <w:szCs w:val="24"/>
        </w:rPr>
        <w:t>Advances in Computational Intelligence and Robotics Book Series</w:t>
      </w:r>
      <w:r w:rsidRPr="002C033D">
        <w:rPr>
          <w:rFonts w:ascii="Cambria" w:hAnsi="Cambria"/>
          <w:sz w:val="24"/>
          <w:szCs w:val="24"/>
        </w:rPr>
        <w:t xml:space="preserve">, 357–390. </w:t>
      </w:r>
      <w:hyperlink r:id="rId36" w:history="1">
        <w:r w:rsidRPr="002C033D">
          <w:rPr>
            <w:rStyle w:val="Hyperlink"/>
            <w:rFonts w:ascii="Cambria" w:hAnsi="Cambria"/>
            <w:color w:val="auto"/>
            <w:sz w:val="24"/>
            <w:szCs w:val="24"/>
          </w:rPr>
          <w:t>https://doi.org/10.4018/979-8-3373-0725-1.ch013</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Ratnawati, K., Rokhim, R., Wati, C. R., &amp; Dewanta, P. P. (2025). The Impact of Enhancing Digital Financial Literacy on Firm Performance. </w:t>
      </w:r>
      <w:r w:rsidRPr="002C033D">
        <w:rPr>
          <w:rFonts w:ascii="Cambria" w:hAnsi="Cambria"/>
          <w:i/>
          <w:sz w:val="24"/>
          <w:szCs w:val="24"/>
        </w:rPr>
        <w:t>International Journal of Technology Intelligence and Planning</w:t>
      </w:r>
      <w:r w:rsidRPr="002C033D">
        <w:rPr>
          <w:rFonts w:ascii="Cambria" w:hAnsi="Cambria"/>
          <w:sz w:val="24"/>
          <w:szCs w:val="24"/>
        </w:rPr>
        <w:t xml:space="preserve">, 14(1), 78–106. </w:t>
      </w:r>
      <w:hyperlink r:id="rId37" w:history="1">
        <w:r w:rsidRPr="002C033D">
          <w:rPr>
            <w:rStyle w:val="Hyperlink"/>
            <w:rFonts w:ascii="Cambria" w:hAnsi="Cambria"/>
            <w:color w:val="auto"/>
            <w:sz w:val="24"/>
            <w:szCs w:val="24"/>
          </w:rPr>
          <w:t>https://doi.org/10.1504/IJTIP.2025.10067890</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Subramaniam, M., &amp; Youndt, M. A. (2005). The Influence of Intellectual Capital on the Types of Innovative Capabilities. </w:t>
      </w:r>
      <w:r w:rsidRPr="002C033D">
        <w:rPr>
          <w:rFonts w:ascii="Cambria" w:hAnsi="Cambria"/>
          <w:i/>
          <w:sz w:val="24"/>
          <w:szCs w:val="24"/>
        </w:rPr>
        <w:t>The Academy of Management Journal</w:t>
      </w:r>
      <w:r w:rsidRPr="002C033D">
        <w:rPr>
          <w:rFonts w:ascii="Cambria" w:hAnsi="Cambria"/>
          <w:sz w:val="24"/>
          <w:szCs w:val="24"/>
        </w:rPr>
        <w:t xml:space="preserve">, 48(3), 450–463. </w:t>
      </w:r>
      <w:hyperlink r:id="rId38" w:history="1">
        <w:r w:rsidRPr="002C033D">
          <w:rPr>
            <w:rStyle w:val="Hyperlink"/>
            <w:rFonts w:ascii="Cambria" w:hAnsi="Cambria"/>
            <w:color w:val="auto"/>
            <w:sz w:val="24"/>
            <w:szCs w:val="24"/>
          </w:rPr>
          <w:t>https://doi.org/10.5465/amj.2005.17407911</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Suryani, S., Hariyono, T. A., Adha, S. I., Sucipto, S., &amp; Jahri, M. (2025). The Impact of Digital Financial Services on Financial Literacy in South Kalimantan, Indonesia. </w:t>
      </w:r>
      <w:r w:rsidRPr="002C033D">
        <w:rPr>
          <w:rFonts w:ascii="Cambria" w:hAnsi="Cambria"/>
          <w:i/>
          <w:sz w:val="24"/>
          <w:szCs w:val="24"/>
        </w:rPr>
        <w:t xml:space="preserve">Journal of </w:t>
      </w:r>
      <w:r w:rsidRPr="002C033D">
        <w:rPr>
          <w:rFonts w:ascii="Cambria" w:hAnsi="Cambria"/>
          <w:i/>
          <w:sz w:val="24"/>
          <w:szCs w:val="24"/>
        </w:rPr>
        <w:lastRenderedPageBreak/>
        <w:t>Social Work and Science Education</w:t>
      </w:r>
      <w:r w:rsidRPr="002C033D">
        <w:rPr>
          <w:rFonts w:ascii="Cambria" w:hAnsi="Cambria"/>
          <w:sz w:val="24"/>
          <w:szCs w:val="24"/>
        </w:rPr>
        <w:t xml:space="preserve">, 6(2), 586–593. </w:t>
      </w:r>
      <w:hyperlink r:id="rId39" w:history="1">
        <w:r w:rsidRPr="002C033D">
          <w:rPr>
            <w:rStyle w:val="Hyperlink"/>
            <w:rFonts w:ascii="Cambria" w:hAnsi="Cambria"/>
            <w:color w:val="auto"/>
            <w:sz w:val="24"/>
            <w:szCs w:val="24"/>
          </w:rPr>
          <w:t>https://doi.org/10.52690/jswse.v6i2.1195</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Tabassum, T., &amp; Ali, Md. M. (2024). Financial Literacy in the Age of Digital Finance: A Global Perspective. 4(3), 30–36. </w:t>
      </w:r>
      <w:hyperlink r:id="rId40" w:history="1">
        <w:r w:rsidRPr="002C033D">
          <w:rPr>
            <w:rStyle w:val="Hyperlink"/>
            <w:rFonts w:ascii="Cambria" w:hAnsi="Cambria"/>
            <w:color w:val="auto"/>
            <w:sz w:val="24"/>
            <w:szCs w:val="24"/>
          </w:rPr>
          <w:t>https://doi.org/10.69593/ajbais.v4i3.79</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Theodos, B., Stacy, C. P., &amp; Daniels, R. (2018). Client led coaching: A random assignment evaluation of the impacts of financial coaching programs. </w:t>
      </w:r>
      <w:r w:rsidRPr="002C033D">
        <w:rPr>
          <w:rFonts w:ascii="Cambria" w:hAnsi="Cambria"/>
          <w:i/>
          <w:sz w:val="24"/>
          <w:szCs w:val="24"/>
        </w:rPr>
        <w:t>Journal of Economic Behavior &amp; Organization</w:t>
      </w:r>
      <w:r w:rsidRPr="002C033D">
        <w:rPr>
          <w:rFonts w:ascii="Cambria" w:hAnsi="Cambria"/>
          <w:sz w:val="24"/>
          <w:szCs w:val="24"/>
        </w:rPr>
        <w:t xml:space="preserve">, 155, 140–158. </w:t>
      </w:r>
      <w:hyperlink r:id="rId41" w:history="1">
        <w:r w:rsidRPr="002C033D">
          <w:rPr>
            <w:rStyle w:val="Hyperlink"/>
            <w:rFonts w:ascii="Cambria" w:hAnsi="Cambria"/>
            <w:color w:val="auto"/>
            <w:sz w:val="24"/>
            <w:szCs w:val="24"/>
          </w:rPr>
          <w:t>https://doi.org/10.1016/j.jebo.2018.08.019</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Unger, J. M., Verheul, I., &amp; Karlsson, T. (2023). The Role of Human Capital for Entrepreneurial Outcomes: A Meta-Analysis. </w:t>
      </w:r>
      <w:r w:rsidRPr="002C033D">
        <w:rPr>
          <w:rFonts w:ascii="Cambria" w:hAnsi="Cambria"/>
          <w:i/>
          <w:sz w:val="24"/>
          <w:szCs w:val="24"/>
        </w:rPr>
        <w:t>Journal of Business Venturing</w:t>
      </w:r>
      <w:r w:rsidRPr="002C033D">
        <w:rPr>
          <w:rFonts w:ascii="Cambria" w:hAnsi="Cambria"/>
          <w:sz w:val="24"/>
          <w:szCs w:val="24"/>
        </w:rPr>
        <w:t xml:space="preserve">, 38(1), 1–20. </w:t>
      </w:r>
      <w:hyperlink r:id="rId42" w:history="1">
        <w:r w:rsidRPr="002C033D">
          <w:rPr>
            <w:rStyle w:val="Hyperlink"/>
            <w:rFonts w:ascii="Cambria" w:hAnsi="Cambria"/>
            <w:color w:val="auto"/>
            <w:sz w:val="24"/>
            <w:szCs w:val="24"/>
          </w:rPr>
          <w:t>https://doi.org/10.1016/j.jbusvent.2023.106248</w:t>
        </w:r>
      </w:hyperlink>
      <w:r w:rsidRPr="002C033D">
        <w:rPr>
          <w:rFonts w:ascii="Cambria" w:hAnsi="Cambria"/>
          <w:sz w:val="24"/>
          <w:szCs w:val="24"/>
        </w:rPr>
        <w:t xml:space="preserve"> </w:t>
      </w:r>
    </w:p>
    <w:p w:rsidR="002C033D" w:rsidRPr="002C033D" w:rsidRDefault="00CB6AA0" w:rsidP="002C033D">
      <w:pPr>
        <w:spacing w:after="240"/>
        <w:ind w:left="567" w:hanging="567"/>
        <w:contextualSpacing/>
        <w:jc w:val="both"/>
        <w:rPr>
          <w:rFonts w:ascii="Cambria" w:hAnsi="Cambria"/>
          <w:sz w:val="24"/>
          <w:szCs w:val="24"/>
        </w:rPr>
      </w:pPr>
      <w:r w:rsidRPr="002C033D">
        <w:rPr>
          <w:rFonts w:ascii="Cambria" w:hAnsi="Cambria"/>
          <w:sz w:val="24"/>
          <w:szCs w:val="24"/>
        </w:rPr>
        <w:t xml:space="preserve">Widodo, T. (2022). Building Economic Resilience through SME Development: Lessons from the Indonesian Experience. </w:t>
      </w:r>
      <w:r w:rsidRPr="002C033D">
        <w:rPr>
          <w:rFonts w:ascii="Cambria" w:hAnsi="Cambria"/>
          <w:i/>
          <w:sz w:val="24"/>
          <w:szCs w:val="24"/>
        </w:rPr>
        <w:t>Asian Economic Papers</w:t>
      </w:r>
      <w:r w:rsidRPr="002C033D">
        <w:rPr>
          <w:rFonts w:ascii="Cambria" w:hAnsi="Cambria"/>
          <w:sz w:val="24"/>
          <w:szCs w:val="24"/>
        </w:rPr>
        <w:t xml:space="preserve">, 21(3), 40–58. </w:t>
      </w:r>
      <w:hyperlink r:id="rId43" w:history="1">
        <w:r w:rsidRPr="002C033D">
          <w:rPr>
            <w:rStyle w:val="Hyperlink"/>
            <w:rFonts w:ascii="Cambria" w:hAnsi="Cambria"/>
            <w:color w:val="auto"/>
            <w:sz w:val="24"/>
            <w:szCs w:val="24"/>
          </w:rPr>
          <w:t>https://doi.org/10.1162/asep_a_00845</w:t>
        </w:r>
      </w:hyperlink>
      <w:bookmarkEnd w:id="4"/>
      <w:r w:rsidRPr="002C033D">
        <w:rPr>
          <w:rFonts w:ascii="Cambria" w:hAnsi="Cambria"/>
          <w:sz w:val="24"/>
          <w:szCs w:val="24"/>
        </w:rPr>
        <w:t xml:space="preserve"> </w:t>
      </w:r>
    </w:p>
    <w:sectPr w:rsidR="002C033D" w:rsidRPr="002C033D" w:rsidSect="00910CCA">
      <w:type w:val="continuous"/>
      <w:pgSz w:w="11906" w:h="16838"/>
      <w:pgMar w:top="1134" w:right="1416" w:bottom="1134" w:left="1418" w:header="0" w:footer="1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C60" w:rsidRDefault="006B2C60">
      <w:r>
        <w:separator/>
      </w:r>
    </w:p>
  </w:endnote>
  <w:endnote w:type="continuationSeparator" w:id="0">
    <w:p w:rsidR="006B2C60" w:rsidRDefault="006B2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metr415 Blk BT">
    <w:panose1 w:val="020B0802020204020303"/>
    <w:charset w:val="00"/>
    <w:family w:val="swiss"/>
    <w:pitch w:val="variable"/>
    <w:sig w:usb0="800000AF" w:usb1="1000204A" w:usb2="00000000" w:usb3="00000000" w:csb0="00000011" w:csb1="00000000"/>
  </w:font>
  <w:font w:name="Geo">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A0" w:rsidRDefault="00CB6AA0"/>
  <w:tbl>
    <w:tblPr>
      <w:tblStyle w:val="2"/>
      <w:tblW w:w="9072" w:type="dxa"/>
      <w:tblBorders>
        <w:top w:val="single" w:sz="8" w:space="0" w:color="000000"/>
        <w:left w:val="nil"/>
        <w:bottom w:val="nil"/>
        <w:right w:val="nil"/>
        <w:insideH w:val="nil"/>
        <w:insideV w:val="nil"/>
      </w:tblBorders>
      <w:tblLayout w:type="fixed"/>
      <w:tblLook w:val="0400" w:firstRow="0" w:lastRow="0" w:firstColumn="0" w:lastColumn="0" w:noHBand="0" w:noVBand="1"/>
    </w:tblPr>
    <w:tblGrid>
      <w:gridCol w:w="1399"/>
      <w:gridCol w:w="6398"/>
      <w:gridCol w:w="1275"/>
    </w:tblGrid>
    <w:tr w:rsidR="00CB6AA0">
      <w:trPr>
        <w:trHeight w:val="396"/>
      </w:trPr>
      <w:tc>
        <w:tcPr>
          <w:tcW w:w="1399" w:type="dxa"/>
        </w:tcPr>
        <w:p w:rsidR="00CB6AA0" w:rsidRDefault="00CB6AA0">
          <w:pPr>
            <w:pBdr>
              <w:top w:val="nil"/>
              <w:left w:val="nil"/>
              <w:bottom w:val="nil"/>
              <w:right w:val="nil"/>
              <w:between w:val="nil"/>
            </w:pBdr>
            <w:tabs>
              <w:tab w:val="center" w:pos="4680"/>
              <w:tab w:val="right" w:pos="9360"/>
            </w:tabs>
            <w:ind w:left="-108"/>
            <w:rPr>
              <w:rFonts w:ascii="Cambria" w:eastAsia="Cambria" w:hAnsi="Cambria" w:cs="Cambria"/>
              <w:b/>
              <w:color w:val="000000"/>
              <w:sz w:val="20"/>
              <w:szCs w:val="20"/>
            </w:rPr>
          </w:pPr>
          <w:r>
            <w:rPr>
              <w:rFonts w:ascii="Arial" w:eastAsia="Arial" w:hAnsi="Arial" w:cs="Arial"/>
              <w:noProof/>
              <w:color w:val="000000"/>
              <w:lang w:val="en-US" w:eastAsia="en-US"/>
            </w:rPr>
            <w:drawing>
              <wp:inline distT="0" distB="0" distL="0" distR="0">
                <wp:extent cx="817549" cy="288000"/>
                <wp:effectExtent l="0" t="0" r="1905" b="0"/>
                <wp:docPr id="4" name="image1.png">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4" name="image1.png">
                          <a:hlinkClick r:id="rId1"/>
                        </pic:cNvPr>
                        <pic:cNvPicPr/>
                      </pic:nvPicPr>
                      <pic:blipFill>
                        <a:blip r:embed="rId2"/>
                        <a:stretch>
                          <a:fillRect/>
                        </a:stretch>
                      </pic:blipFill>
                      <pic:spPr>
                        <a:xfrm>
                          <a:off x="0" y="0"/>
                          <a:ext cx="817549" cy="288000"/>
                        </a:xfrm>
                        <a:prstGeom prst="rect">
                          <a:avLst/>
                        </a:prstGeom>
                      </pic:spPr>
                    </pic:pic>
                  </a:graphicData>
                </a:graphic>
              </wp:inline>
            </w:drawing>
          </w:r>
        </w:p>
      </w:tc>
      <w:tc>
        <w:tcPr>
          <w:tcW w:w="6398" w:type="dxa"/>
        </w:tcPr>
        <w:p w:rsidR="000F64A5" w:rsidRPr="00E03B90" w:rsidRDefault="000F64A5" w:rsidP="000F64A5">
          <w:pPr>
            <w:ind w:left="-97"/>
            <w:jc w:val="both"/>
            <w:rPr>
              <w:rFonts w:ascii="Cambria" w:eastAsia="Cambria" w:hAnsi="Cambria" w:cs="Cambria"/>
              <w:bCs/>
              <w:i/>
              <w:sz w:val="18"/>
              <w:szCs w:val="18"/>
            </w:rPr>
          </w:pPr>
          <w:r w:rsidRPr="00E03B90">
            <w:rPr>
              <w:rFonts w:ascii="Cambria" w:eastAsia="Cambria" w:hAnsi="Cambria" w:cs="Cambria"/>
              <w:bCs/>
              <w:i/>
              <w:sz w:val="18"/>
              <w:szCs w:val="18"/>
            </w:rPr>
            <w:t>Copyright © 2026, The Author(s).</w:t>
          </w:r>
        </w:p>
        <w:p w:rsidR="00CB6AA0" w:rsidRPr="006C643B" w:rsidRDefault="000F64A5" w:rsidP="000F64A5">
          <w:pPr>
            <w:ind w:left="-97"/>
            <w:jc w:val="both"/>
            <w:rPr>
              <w:rFonts w:ascii="Cambria" w:eastAsia="Cambria" w:hAnsi="Cambria" w:cs="Cambria"/>
              <w:bCs/>
              <w:i/>
              <w:sz w:val="18"/>
              <w:szCs w:val="18"/>
            </w:rPr>
          </w:pPr>
          <w:r w:rsidRPr="00E03B90">
            <w:rPr>
              <w:rFonts w:ascii="Cambria" w:eastAsia="Cambria" w:hAnsi="Cambria" w:cs="Cambria"/>
              <w:bCs/>
              <w:i/>
              <w:sz w:val="18"/>
              <w:szCs w:val="18"/>
            </w:rPr>
            <w:t>This is an open-access article under the CC–BY-SA license.</w:t>
          </w:r>
        </w:p>
      </w:tc>
      <w:tc>
        <w:tcPr>
          <w:tcW w:w="1275" w:type="dxa"/>
        </w:tcPr>
        <w:p w:rsidR="00CB6AA0" w:rsidRPr="00F82B1E" w:rsidRDefault="00CB6AA0" w:rsidP="009D67B5">
          <w:pPr>
            <w:pBdr>
              <w:top w:val="nil"/>
              <w:left w:val="nil"/>
              <w:bottom w:val="nil"/>
              <w:right w:val="nil"/>
              <w:between w:val="nil"/>
            </w:pBdr>
            <w:tabs>
              <w:tab w:val="center" w:pos="579"/>
              <w:tab w:val="right" w:pos="1158"/>
              <w:tab w:val="center" w:pos="4680"/>
              <w:tab w:val="right" w:pos="9360"/>
            </w:tabs>
            <w:ind w:right="-85"/>
            <w:rPr>
              <w:rFonts w:ascii="Cambria" w:eastAsia="Cambria" w:hAnsi="Cambria" w:cs="Cambria"/>
              <w:color w:val="000000"/>
              <w:sz w:val="22"/>
              <w:szCs w:val="22"/>
            </w:rPr>
          </w:pPr>
          <w:bookmarkStart w:id="2" w:name="_heading=h.2et92p0" w:colFirst="0" w:colLast="0"/>
          <w:bookmarkEnd w:id="2"/>
          <w:r>
            <w:rPr>
              <w:rFonts w:ascii="Cambria" w:eastAsia="Cambria" w:hAnsi="Cambria" w:cs="Cambria"/>
              <w:color w:val="000000"/>
            </w:rPr>
            <w:tab/>
          </w:r>
          <w:r>
            <w:rPr>
              <w:rFonts w:ascii="Cambria" w:eastAsia="Cambria" w:hAnsi="Cambria" w:cs="Cambria"/>
              <w:color w:val="000000"/>
            </w:rPr>
            <w:tab/>
          </w:r>
          <w:r w:rsidRPr="00F82B1E">
            <w:rPr>
              <w:rFonts w:ascii="Cambria" w:eastAsia="Cambria" w:hAnsi="Cambria" w:cs="Cambria"/>
              <w:color w:val="000000"/>
              <w:sz w:val="22"/>
              <w:szCs w:val="22"/>
            </w:rPr>
            <w:fldChar w:fldCharType="begin"/>
          </w:r>
          <w:r w:rsidRPr="00F82B1E">
            <w:rPr>
              <w:rFonts w:ascii="Cambria" w:eastAsia="Cambria" w:hAnsi="Cambria" w:cs="Cambria"/>
              <w:color w:val="000000"/>
              <w:sz w:val="22"/>
              <w:szCs w:val="22"/>
            </w:rPr>
            <w:instrText>PAGE</w:instrText>
          </w:r>
          <w:r w:rsidRPr="00F82B1E">
            <w:rPr>
              <w:rFonts w:ascii="Cambria" w:eastAsia="Cambria" w:hAnsi="Cambria" w:cs="Cambria"/>
              <w:color w:val="000000"/>
              <w:sz w:val="22"/>
              <w:szCs w:val="22"/>
            </w:rPr>
            <w:fldChar w:fldCharType="separate"/>
          </w:r>
          <w:r w:rsidR="001C4A42">
            <w:rPr>
              <w:rFonts w:ascii="Cambria" w:eastAsia="Cambria" w:hAnsi="Cambria" w:cs="Cambria"/>
              <w:noProof/>
              <w:color w:val="000000"/>
              <w:sz w:val="22"/>
              <w:szCs w:val="22"/>
            </w:rPr>
            <w:t>402</w:t>
          </w:r>
          <w:r w:rsidRPr="00F82B1E">
            <w:rPr>
              <w:rFonts w:ascii="Cambria" w:eastAsia="Cambria" w:hAnsi="Cambria" w:cs="Cambria"/>
              <w:color w:val="000000"/>
              <w:sz w:val="22"/>
              <w:szCs w:val="22"/>
            </w:rPr>
            <w:fldChar w:fldCharType="end"/>
          </w:r>
        </w:p>
      </w:tc>
    </w:tr>
  </w:tbl>
  <w:p w:rsidR="00CB6AA0" w:rsidRDefault="00CB6AA0">
    <w:pPr>
      <w:pBdr>
        <w:top w:val="nil"/>
        <w:left w:val="nil"/>
        <w:bottom w:val="nil"/>
        <w:right w:val="nil"/>
        <w:between w:val="nil"/>
      </w:pBdr>
      <w:tabs>
        <w:tab w:val="center" w:pos="4680"/>
        <w:tab w:val="right" w:pos="9360"/>
      </w:tabs>
      <w:rPr>
        <w:color w:val="000000"/>
      </w:rPr>
    </w:pPr>
  </w:p>
  <w:p w:rsidR="00CB6AA0" w:rsidRDefault="00CB6AA0">
    <w:pPr>
      <w:pBdr>
        <w:top w:val="nil"/>
        <w:left w:val="nil"/>
        <w:bottom w:val="nil"/>
        <w:right w:val="nil"/>
        <w:between w:val="nil"/>
      </w:pBdr>
      <w:tabs>
        <w:tab w:val="center" w:pos="4680"/>
        <w:tab w:val="right" w:pos="9360"/>
      </w:tabs>
      <w:rPr>
        <w:color w:val="000000"/>
      </w:rPr>
    </w:pPr>
  </w:p>
  <w:p w:rsidR="00CB6AA0" w:rsidRDefault="00CB6AA0">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A0" w:rsidRDefault="00CB6AA0">
    <w:pPr>
      <w:widowControl w:val="0"/>
      <w:pBdr>
        <w:top w:val="nil"/>
        <w:left w:val="nil"/>
        <w:bottom w:val="nil"/>
        <w:right w:val="nil"/>
        <w:between w:val="nil"/>
      </w:pBdr>
      <w:spacing w:line="276" w:lineRule="auto"/>
      <w:rPr>
        <w:color w:val="000000"/>
      </w:rPr>
    </w:pPr>
  </w:p>
  <w:tbl>
    <w:tblPr>
      <w:tblStyle w:val="1"/>
      <w:tblW w:w="9072" w:type="dxa"/>
      <w:tblBorders>
        <w:top w:val="single" w:sz="8" w:space="0" w:color="000000"/>
        <w:left w:val="nil"/>
        <w:bottom w:val="nil"/>
        <w:right w:val="nil"/>
        <w:insideH w:val="nil"/>
        <w:insideV w:val="nil"/>
      </w:tblBorders>
      <w:tblLayout w:type="fixed"/>
      <w:tblLook w:val="0400" w:firstRow="0" w:lastRow="0" w:firstColumn="0" w:lastColumn="0" w:noHBand="0" w:noVBand="1"/>
    </w:tblPr>
    <w:tblGrid>
      <w:gridCol w:w="1401"/>
      <w:gridCol w:w="6396"/>
      <w:gridCol w:w="1275"/>
    </w:tblGrid>
    <w:tr w:rsidR="00CB6AA0">
      <w:tc>
        <w:tcPr>
          <w:tcW w:w="1401" w:type="dxa"/>
        </w:tcPr>
        <w:p w:rsidR="00CB6AA0" w:rsidRDefault="00CB6AA0">
          <w:pPr>
            <w:ind w:left="-105" w:right="-105"/>
            <w:rPr>
              <w:rFonts w:ascii="Arial" w:eastAsia="Arial" w:hAnsi="Arial" w:cs="Arial"/>
            </w:rPr>
          </w:pPr>
          <w:r>
            <w:rPr>
              <w:rFonts w:ascii="Arial" w:eastAsia="Arial" w:hAnsi="Arial" w:cs="Arial"/>
              <w:noProof/>
              <w:lang w:val="en-US" w:eastAsia="en-US"/>
            </w:rPr>
            <w:drawing>
              <wp:inline distT="0" distB="0" distL="0" distR="0">
                <wp:extent cx="817549" cy="288000"/>
                <wp:effectExtent l="0" t="0" r="1905" b="0"/>
                <wp:docPr id="5" name="image1.png">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5" name="image1.png">
                          <a:hlinkClick r:id="rId1"/>
                        </pic:cNvPr>
                        <pic:cNvPicPr/>
                      </pic:nvPicPr>
                      <pic:blipFill>
                        <a:blip r:embed="rId2"/>
                        <a:stretch>
                          <a:fillRect/>
                        </a:stretch>
                      </pic:blipFill>
                      <pic:spPr>
                        <a:xfrm>
                          <a:off x="0" y="0"/>
                          <a:ext cx="817549" cy="288000"/>
                        </a:xfrm>
                        <a:prstGeom prst="rect">
                          <a:avLst/>
                        </a:prstGeom>
                      </pic:spPr>
                    </pic:pic>
                  </a:graphicData>
                </a:graphic>
              </wp:inline>
            </w:drawing>
          </w:r>
        </w:p>
      </w:tc>
      <w:tc>
        <w:tcPr>
          <w:tcW w:w="6396" w:type="dxa"/>
        </w:tcPr>
        <w:p w:rsidR="000F64A5" w:rsidRPr="00E03B90" w:rsidRDefault="000F64A5" w:rsidP="000F64A5">
          <w:pPr>
            <w:ind w:left="-97"/>
            <w:jc w:val="both"/>
            <w:rPr>
              <w:rFonts w:ascii="Cambria" w:eastAsia="Cambria" w:hAnsi="Cambria" w:cs="Cambria"/>
              <w:bCs/>
              <w:i/>
              <w:sz w:val="18"/>
              <w:szCs w:val="18"/>
            </w:rPr>
          </w:pPr>
          <w:bookmarkStart w:id="3" w:name="_heading=h.tyjcwt" w:colFirst="0" w:colLast="0"/>
          <w:bookmarkEnd w:id="3"/>
          <w:r w:rsidRPr="00E03B90">
            <w:rPr>
              <w:rFonts w:ascii="Cambria" w:eastAsia="Cambria" w:hAnsi="Cambria" w:cs="Cambria"/>
              <w:bCs/>
              <w:i/>
              <w:sz w:val="18"/>
              <w:szCs w:val="18"/>
            </w:rPr>
            <w:t>Copyright © 2026, The Author(s).</w:t>
          </w:r>
        </w:p>
        <w:p w:rsidR="00CB6AA0" w:rsidRPr="006C643B" w:rsidRDefault="000F64A5" w:rsidP="000F64A5">
          <w:pPr>
            <w:ind w:left="-97"/>
            <w:jc w:val="both"/>
            <w:rPr>
              <w:rFonts w:ascii="Cambria" w:eastAsia="Cambria" w:hAnsi="Cambria" w:cs="Cambria"/>
              <w:bCs/>
              <w:i/>
              <w:sz w:val="18"/>
              <w:szCs w:val="18"/>
            </w:rPr>
          </w:pPr>
          <w:r w:rsidRPr="00E03B90">
            <w:rPr>
              <w:rFonts w:ascii="Cambria" w:eastAsia="Cambria" w:hAnsi="Cambria" w:cs="Cambria"/>
              <w:bCs/>
              <w:i/>
              <w:sz w:val="18"/>
              <w:szCs w:val="18"/>
            </w:rPr>
            <w:t>This is an open-access article under the CC–BY-SA license.</w:t>
          </w:r>
        </w:p>
      </w:tc>
      <w:tc>
        <w:tcPr>
          <w:tcW w:w="1275" w:type="dxa"/>
        </w:tcPr>
        <w:p w:rsidR="00CB6AA0" w:rsidRPr="00F82B1E" w:rsidRDefault="00CB6AA0" w:rsidP="009D67B5">
          <w:pPr>
            <w:pBdr>
              <w:top w:val="nil"/>
              <w:left w:val="nil"/>
              <w:bottom w:val="nil"/>
              <w:right w:val="nil"/>
              <w:between w:val="nil"/>
            </w:pBdr>
            <w:tabs>
              <w:tab w:val="center" w:pos="4680"/>
              <w:tab w:val="right" w:pos="9360"/>
            </w:tabs>
            <w:ind w:right="-85"/>
            <w:jc w:val="right"/>
            <w:rPr>
              <w:rFonts w:ascii="Cambria" w:eastAsia="Cambria" w:hAnsi="Cambria" w:cs="Cambria"/>
              <w:color w:val="000000"/>
              <w:sz w:val="22"/>
              <w:szCs w:val="22"/>
            </w:rPr>
          </w:pPr>
          <w:r w:rsidRPr="00F82B1E">
            <w:rPr>
              <w:rFonts w:ascii="Cambria" w:eastAsia="Cambria" w:hAnsi="Cambria" w:cs="Cambria"/>
              <w:color w:val="000000"/>
              <w:sz w:val="22"/>
              <w:szCs w:val="22"/>
            </w:rPr>
            <w:fldChar w:fldCharType="begin"/>
          </w:r>
          <w:r w:rsidRPr="00F82B1E">
            <w:rPr>
              <w:rFonts w:ascii="Cambria" w:eastAsia="Cambria" w:hAnsi="Cambria" w:cs="Cambria"/>
              <w:color w:val="000000"/>
              <w:sz w:val="22"/>
              <w:szCs w:val="22"/>
            </w:rPr>
            <w:instrText>PAGE</w:instrText>
          </w:r>
          <w:r w:rsidRPr="00F82B1E">
            <w:rPr>
              <w:rFonts w:ascii="Cambria" w:eastAsia="Cambria" w:hAnsi="Cambria" w:cs="Cambria"/>
              <w:color w:val="000000"/>
              <w:sz w:val="22"/>
              <w:szCs w:val="22"/>
            </w:rPr>
            <w:fldChar w:fldCharType="separate"/>
          </w:r>
          <w:r w:rsidR="001C4A42">
            <w:rPr>
              <w:rFonts w:ascii="Cambria" w:eastAsia="Cambria" w:hAnsi="Cambria" w:cs="Cambria"/>
              <w:noProof/>
              <w:color w:val="000000"/>
              <w:sz w:val="22"/>
              <w:szCs w:val="22"/>
            </w:rPr>
            <w:t>383</w:t>
          </w:r>
          <w:r w:rsidRPr="00F82B1E">
            <w:rPr>
              <w:rFonts w:ascii="Cambria" w:eastAsia="Cambria" w:hAnsi="Cambria" w:cs="Cambria"/>
              <w:color w:val="000000"/>
              <w:sz w:val="22"/>
              <w:szCs w:val="22"/>
            </w:rPr>
            <w:fldChar w:fldCharType="end"/>
          </w:r>
        </w:p>
      </w:tc>
    </w:tr>
  </w:tbl>
  <w:p w:rsidR="00CB6AA0" w:rsidRDefault="00CB6AA0">
    <w:pPr>
      <w:pBdr>
        <w:top w:val="nil"/>
        <w:left w:val="nil"/>
        <w:bottom w:val="nil"/>
        <w:right w:val="nil"/>
        <w:between w:val="nil"/>
      </w:pBdr>
      <w:tabs>
        <w:tab w:val="center" w:pos="4680"/>
        <w:tab w:val="right" w:pos="9360"/>
      </w:tabs>
      <w:rPr>
        <w:color w:val="000000"/>
      </w:rPr>
    </w:pPr>
  </w:p>
  <w:p w:rsidR="00CB6AA0" w:rsidRDefault="00CB6AA0">
    <w:pPr>
      <w:pBdr>
        <w:top w:val="nil"/>
        <w:left w:val="nil"/>
        <w:bottom w:val="nil"/>
        <w:right w:val="nil"/>
        <w:between w:val="nil"/>
      </w:pBdr>
      <w:tabs>
        <w:tab w:val="center" w:pos="4680"/>
        <w:tab w:val="right" w:pos="9360"/>
      </w:tabs>
      <w:rPr>
        <w:color w:val="000000"/>
      </w:rPr>
    </w:pPr>
  </w:p>
  <w:p w:rsidR="00CB6AA0" w:rsidRDefault="00CB6AA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C60" w:rsidRDefault="006B2C60">
      <w:r>
        <w:separator/>
      </w:r>
    </w:p>
  </w:footnote>
  <w:footnote w:type="continuationSeparator" w:id="0">
    <w:p w:rsidR="006B2C60" w:rsidRDefault="006B2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6AA0" w:rsidRDefault="00CB6AA0">
    <w:pPr>
      <w:pBdr>
        <w:top w:val="nil"/>
        <w:left w:val="nil"/>
        <w:bottom w:val="nil"/>
        <w:right w:val="nil"/>
        <w:between w:val="nil"/>
      </w:pBdr>
      <w:tabs>
        <w:tab w:val="center" w:pos="4680"/>
        <w:tab w:val="right" w:pos="9360"/>
      </w:tabs>
      <w:rPr>
        <w:color w:val="000000"/>
      </w:rPr>
    </w:pPr>
  </w:p>
  <w:p w:rsidR="00CB6AA0" w:rsidRDefault="00CB6AA0">
    <w:pPr>
      <w:pBdr>
        <w:top w:val="nil"/>
        <w:left w:val="nil"/>
        <w:bottom w:val="nil"/>
        <w:right w:val="nil"/>
        <w:between w:val="nil"/>
      </w:pBdr>
      <w:tabs>
        <w:tab w:val="center" w:pos="4680"/>
        <w:tab w:val="right" w:pos="9360"/>
      </w:tabs>
      <w:rPr>
        <w:color w:val="000000"/>
      </w:rPr>
    </w:pPr>
  </w:p>
  <w:p w:rsidR="00CB6AA0" w:rsidRDefault="00CB6AA0">
    <w:pPr>
      <w:pBdr>
        <w:top w:val="nil"/>
        <w:left w:val="nil"/>
        <w:bottom w:val="nil"/>
        <w:right w:val="nil"/>
        <w:between w:val="nil"/>
      </w:pBdr>
      <w:tabs>
        <w:tab w:val="center" w:pos="4680"/>
        <w:tab w:val="right" w:pos="9360"/>
      </w:tabs>
      <w:rPr>
        <w:color w:val="000000"/>
      </w:rPr>
    </w:pPr>
  </w:p>
  <w:tbl>
    <w:tblPr>
      <w:tblStyle w:val="3"/>
      <w:tblW w:w="9072" w:type="dxa"/>
      <w:tblBorders>
        <w:top w:val="nil"/>
        <w:left w:val="nil"/>
        <w:bottom w:val="single" w:sz="12" w:space="0" w:color="000000"/>
        <w:right w:val="nil"/>
        <w:insideH w:val="nil"/>
        <w:insideV w:val="nil"/>
      </w:tblBorders>
      <w:tblLayout w:type="fixed"/>
      <w:tblLook w:val="0400" w:firstRow="0" w:lastRow="0" w:firstColumn="0" w:lastColumn="0" w:noHBand="0" w:noVBand="1"/>
    </w:tblPr>
    <w:tblGrid>
      <w:gridCol w:w="9072"/>
    </w:tblGrid>
    <w:tr w:rsidR="00CB6AA0">
      <w:tc>
        <w:tcPr>
          <w:tcW w:w="9072" w:type="dxa"/>
        </w:tcPr>
        <w:p w:rsidR="00CB6AA0" w:rsidRPr="002C2016" w:rsidRDefault="00CB6AA0">
          <w:pPr>
            <w:pBdr>
              <w:top w:val="nil"/>
              <w:left w:val="nil"/>
              <w:bottom w:val="nil"/>
              <w:right w:val="nil"/>
              <w:between w:val="nil"/>
            </w:pBdr>
            <w:spacing w:line="276" w:lineRule="auto"/>
            <w:ind w:left="-105"/>
            <w:rPr>
              <w:rFonts w:ascii="Geometr415 Blk BT" w:eastAsia="Geo" w:hAnsi="Geometr415 Blk BT" w:cs="Geo"/>
              <w:color w:val="000000"/>
              <w:sz w:val="22"/>
              <w:szCs w:val="22"/>
            </w:rPr>
          </w:pPr>
          <w:r w:rsidRPr="00D65935">
            <w:rPr>
              <w:rFonts w:ascii="Geometr415 Blk BT" w:eastAsia="Geo" w:hAnsi="Geometr415 Blk BT" w:cs="Geo"/>
              <w:color w:val="000000"/>
            </w:rPr>
            <w:t>Journal of Economics and Management</w:t>
          </w:r>
        </w:p>
      </w:tc>
    </w:tr>
    <w:tr w:rsidR="00CB6AA0">
      <w:tc>
        <w:tcPr>
          <w:tcW w:w="9072" w:type="dxa"/>
        </w:tcPr>
        <w:p w:rsidR="00CB6AA0" w:rsidRPr="00F82B1E" w:rsidRDefault="00CB6AA0" w:rsidP="00AD468D">
          <w:pPr>
            <w:tabs>
              <w:tab w:val="left" w:pos="1420"/>
            </w:tabs>
            <w:spacing w:after="60" w:line="276" w:lineRule="auto"/>
            <w:ind w:left="-108"/>
            <w:rPr>
              <w:rFonts w:ascii="Cambria" w:eastAsia="Cambria" w:hAnsi="Cambria" w:cs="Cambria"/>
              <w:color w:val="C00000"/>
              <w:sz w:val="20"/>
              <w:szCs w:val="20"/>
            </w:rPr>
          </w:pPr>
          <w:bookmarkStart w:id="1" w:name="_heading=h.3znysh7" w:colFirst="0" w:colLast="0"/>
          <w:bookmarkEnd w:id="1"/>
          <w:r w:rsidRPr="00F82B1E">
            <w:rPr>
              <w:rFonts w:ascii="Cambria" w:eastAsia="Cambria" w:hAnsi="Cambria" w:cs="Cambria"/>
              <w:sz w:val="20"/>
              <w:szCs w:val="20"/>
            </w:rPr>
            <w:t xml:space="preserve">Vol. 4 No. </w:t>
          </w:r>
          <w:r>
            <w:rPr>
              <w:rFonts w:ascii="Cambria" w:eastAsia="Cambria" w:hAnsi="Cambria" w:cs="Cambria"/>
              <w:sz w:val="20"/>
              <w:szCs w:val="20"/>
            </w:rPr>
            <w:t>2</w:t>
          </w:r>
          <w:r w:rsidRPr="00F82B1E">
            <w:rPr>
              <w:rFonts w:ascii="Cambria" w:eastAsia="Cambria" w:hAnsi="Cambria" w:cs="Cambria"/>
              <w:sz w:val="20"/>
              <w:szCs w:val="20"/>
            </w:rPr>
            <w:t xml:space="preserve">, </w:t>
          </w:r>
          <w:r>
            <w:rPr>
              <w:rFonts w:ascii="Cambria" w:eastAsia="Cambria" w:hAnsi="Cambria" w:cs="Cambria"/>
              <w:sz w:val="20"/>
              <w:szCs w:val="20"/>
            </w:rPr>
            <w:t>June</w:t>
          </w:r>
          <w:r w:rsidRPr="00F82B1E">
            <w:rPr>
              <w:rFonts w:ascii="Cambria" w:eastAsia="Cambria" w:hAnsi="Cambria" w:cs="Cambria"/>
              <w:sz w:val="20"/>
              <w:szCs w:val="20"/>
            </w:rPr>
            <w:t xml:space="preserve"> 2026  |  E-ISSN: 2987-7407  |  DOI: https://doi.org/10.</w:t>
          </w:r>
          <w:r w:rsidRPr="00F82B1E">
            <w:rPr>
              <w:rFonts w:ascii="Cambria" w:eastAsia="Cambria" w:hAnsi="Cambria" w:cs="Cambria"/>
              <w:sz w:val="20"/>
              <w:szCs w:val="20"/>
              <w:lang w:val="en-US"/>
            </w:rPr>
            <w:t>70716</w:t>
          </w:r>
          <w:r w:rsidRPr="00F82B1E">
            <w:rPr>
              <w:rFonts w:ascii="Cambria" w:eastAsia="Cambria" w:hAnsi="Cambria" w:cs="Cambria"/>
              <w:sz w:val="20"/>
              <w:szCs w:val="20"/>
            </w:rPr>
            <w:t>/ecoma.v</w:t>
          </w:r>
          <w:r>
            <w:rPr>
              <w:rFonts w:ascii="Cambria" w:eastAsia="Cambria" w:hAnsi="Cambria" w:cs="Cambria"/>
              <w:sz w:val="20"/>
              <w:szCs w:val="20"/>
            </w:rPr>
            <w:t>4</w:t>
          </w:r>
          <w:r w:rsidRPr="00F82B1E">
            <w:rPr>
              <w:rFonts w:ascii="Cambria" w:eastAsia="Cambria" w:hAnsi="Cambria" w:cs="Cambria"/>
              <w:sz w:val="20"/>
              <w:szCs w:val="20"/>
            </w:rPr>
            <w:t>i</w:t>
          </w:r>
          <w:r>
            <w:rPr>
              <w:rFonts w:ascii="Cambria" w:eastAsia="Cambria" w:hAnsi="Cambria" w:cs="Cambria"/>
              <w:sz w:val="20"/>
              <w:szCs w:val="20"/>
            </w:rPr>
            <w:t>2</w:t>
          </w:r>
          <w:r w:rsidRPr="00F82B1E">
            <w:rPr>
              <w:rFonts w:ascii="Cambria" w:eastAsia="Cambria" w:hAnsi="Cambria" w:cs="Cambria"/>
              <w:sz w:val="20"/>
              <w:szCs w:val="20"/>
            </w:rPr>
            <w:t>.</w:t>
          </w:r>
          <w:r>
            <w:rPr>
              <w:rFonts w:ascii="Cambria" w:eastAsia="Cambria" w:hAnsi="Cambria" w:cs="Cambria"/>
              <w:sz w:val="20"/>
              <w:szCs w:val="20"/>
            </w:rPr>
            <w:t>515</w:t>
          </w:r>
        </w:p>
      </w:tc>
    </w:tr>
  </w:tbl>
  <w:p w:rsidR="00CB6AA0" w:rsidRDefault="00CB6AA0">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F6780"/>
    <w:multiLevelType w:val="hybridMultilevel"/>
    <w:tmpl w:val="3AE6FACE"/>
    <w:lvl w:ilvl="0" w:tplc="02E2D476">
      <w:start w:val="1"/>
      <w:numFmt w:val="decimal"/>
      <w:lvlText w:val="%1."/>
      <w:lvlJc w:val="left"/>
      <w:pPr>
        <w:ind w:left="720" w:hanging="360"/>
      </w:pPr>
      <w:rPr>
        <w:rFonts w:hint="default"/>
      </w:rPr>
    </w:lvl>
    <w:lvl w:ilvl="1" w:tplc="2E2CAD08" w:tentative="1">
      <w:start w:val="1"/>
      <w:numFmt w:val="lowerLetter"/>
      <w:lvlText w:val="%2."/>
      <w:lvlJc w:val="left"/>
      <w:pPr>
        <w:ind w:left="1440" w:hanging="360"/>
      </w:pPr>
    </w:lvl>
    <w:lvl w:ilvl="2" w:tplc="B4B27DBA" w:tentative="1">
      <w:start w:val="1"/>
      <w:numFmt w:val="lowerRoman"/>
      <w:lvlText w:val="%3."/>
      <w:lvlJc w:val="right"/>
      <w:pPr>
        <w:ind w:left="2160" w:hanging="180"/>
      </w:pPr>
    </w:lvl>
    <w:lvl w:ilvl="3" w:tplc="A63239A0" w:tentative="1">
      <w:start w:val="1"/>
      <w:numFmt w:val="decimal"/>
      <w:lvlText w:val="%4."/>
      <w:lvlJc w:val="left"/>
      <w:pPr>
        <w:ind w:left="2880" w:hanging="360"/>
      </w:pPr>
    </w:lvl>
    <w:lvl w:ilvl="4" w:tplc="365491C8" w:tentative="1">
      <w:start w:val="1"/>
      <w:numFmt w:val="lowerLetter"/>
      <w:lvlText w:val="%5."/>
      <w:lvlJc w:val="left"/>
      <w:pPr>
        <w:ind w:left="3600" w:hanging="360"/>
      </w:pPr>
    </w:lvl>
    <w:lvl w:ilvl="5" w:tplc="49081D32" w:tentative="1">
      <w:start w:val="1"/>
      <w:numFmt w:val="lowerRoman"/>
      <w:lvlText w:val="%6."/>
      <w:lvlJc w:val="right"/>
      <w:pPr>
        <w:ind w:left="4320" w:hanging="180"/>
      </w:pPr>
    </w:lvl>
    <w:lvl w:ilvl="6" w:tplc="8E2E1CAA" w:tentative="1">
      <w:start w:val="1"/>
      <w:numFmt w:val="decimal"/>
      <w:lvlText w:val="%7."/>
      <w:lvlJc w:val="left"/>
      <w:pPr>
        <w:ind w:left="5040" w:hanging="360"/>
      </w:pPr>
    </w:lvl>
    <w:lvl w:ilvl="7" w:tplc="197AA58E" w:tentative="1">
      <w:start w:val="1"/>
      <w:numFmt w:val="lowerLetter"/>
      <w:lvlText w:val="%8."/>
      <w:lvlJc w:val="left"/>
      <w:pPr>
        <w:ind w:left="5760" w:hanging="360"/>
      </w:pPr>
    </w:lvl>
    <w:lvl w:ilvl="8" w:tplc="AA82DB6C" w:tentative="1">
      <w:start w:val="1"/>
      <w:numFmt w:val="lowerRoman"/>
      <w:lvlText w:val="%9."/>
      <w:lvlJc w:val="right"/>
      <w:pPr>
        <w:ind w:left="6480" w:hanging="180"/>
      </w:pPr>
    </w:lvl>
  </w:abstractNum>
  <w:abstractNum w:abstractNumId="1" w15:restartNumberingAfterBreak="0">
    <w:nsid w:val="17752271"/>
    <w:multiLevelType w:val="hybridMultilevel"/>
    <w:tmpl w:val="E0E0B48A"/>
    <w:lvl w:ilvl="0" w:tplc="6D1AFADC">
      <w:start w:val="1"/>
      <w:numFmt w:val="decimal"/>
      <w:lvlText w:val="%1."/>
      <w:lvlJc w:val="left"/>
      <w:pPr>
        <w:ind w:left="720" w:hanging="360"/>
      </w:pPr>
    </w:lvl>
    <w:lvl w:ilvl="1" w:tplc="52C848CA" w:tentative="1">
      <w:start w:val="1"/>
      <w:numFmt w:val="lowerLetter"/>
      <w:lvlText w:val="%2."/>
      <w:lvlJc w:val="left"/>
      <w:pPr>
        <w:ind w:left="1440" w:hanging="360"/>
      </w:pPr>
    </w:lvl>
    <w:lvl w:ilvl="2" w:tplc="0102FF80" w:tentative="1">
      <w:start w:val="1"/>
      <w:numFmt w:val="lowerRoman"/>
      <w:lvlText w:val="%3."/>
      <w:lvlJc w:val="right"/>
      <w:pPr>
        <w:ind w:left="2160" w:hanging="180"/>
      </w:pPr>
    </w:lvl>
    <w:lvl w:ilvl="3" w:tplc="850E0830" w:tentative="1">
      <w:start w:val="1"/>
      <w:numFmt w:val="decimal"/>
      <w:lvlText w:val="%4."/>
      <w:lvlJc w:val="left"/>
      <w:pPr>
        <w:ind w:left="2880" w:hanging="360"/>
      </w:pPr>
    </w:lvl>
    <w:lvl w:ilvl="4" w:tplc="8236E964" w:tentative="1">
      <w:start w:val="1"/>
      <w:numFmt w:val="lowerLetter"/>
      <w:lvlText w:val="%5."/>
      <w:lvlJc w:val="left"/>
      <w:pPr>
        <w:ind w:left="3600" w:hanging="360"/>
      </w:pPr>
    </w:lvl>
    <w:lvl w:ilvl="5" w:tplc="495A6A2C" w:tentative="1">
      <w:start w:val="1"/>
      <w:numFmt w:val="lowerRoman"/>
      <w:lvlText w:val="%6."/>
      <w:lvlJc w:val="right"/>
      <w:pPr>
        <w:ind w:left="4320" w:hanging="180"/>
      </w:pPr>
    </w:lvl>
    <w:lvl w:ilvl="6" w:tplc="814CB328" w:tentative="1">
      <w:start w:val="1"/>
      <w:numFmt w:val="decimal"/>
      <w:lvlText w:val="%7."/>
      <w:lvlJc w:val="left"/>
      <w:pPr>
        <w:ind w:left="5040" w:hanging="360"/>
      </w:pPr>
    </w:lvl>
    <w:lvl w:ilvl="7" w:tplc="A1EED360" w:tentative="1">
      <w:start w:val="1"/>
      <w:numFmt w:val="lowerLetter"/>
      <w:lvlText w:val="%8."/>
      <w:lvlJc w:val="left"/>
      <w:pPr>
        <w:ind w:left="5760" w:hanging="360"/>
      </w:pPr>
    </w:lvl>
    <w:lvl w:ilvl="8" w:tplc="BEEE1FEA" w:tentative="1">
      <w:start w:val="1"/>
      <w:numFmt w:val="lowerRoman"/>
      <w:lvlText w:val="%9."/>
      <w:lvlJc w:val="right"/>
      <w:pPr>
        <w:ind w:left="6480" w:hanging="180"/>
      </w:pPr>
    </w:lvl>
  </w:abstractNum>
  <w:abstractNum w:abstractNumId="2" w15:restartNumberingAfterBreak="0">
    <w:nsid w:val="1BC764A6"/>
    <w:multiLevelType w:val="hybridMultilevel"/>
    <w:tmpl w:val="E0E0B48A"/>
    <w:lvl w:ilvl="0" w:tplc="B542353C">
      <w:start w:val="1"/>
      <w:numFmt w:val="decimal"/>
      <w:lvlText w:val="%1."/>
      <w:lvlJc w:val="left"/>
      <w:pPr>
        <w:ind w:left="720" w:hanging="360"/>
      </w:pPr>
    </w:lvl>
    <w:lvl w:ilvl="1" w:tplc="A39E59DC" w:tentative="1">
      <w:start w:val="1"/>
      <w:numFmt w:val="lowerLetter"/>
      <w:lvlText w:val="%2."/>
      <w:lvlJc w:val="left"/>
      <w:pPr>
        <w:ind w:left="1440" w:hanging="360"/>
      </w:pPr>
    </w:lvl>
    <w:lvl w:ilvl="2" w:tplc="B1DCB392" w:tentative="1">
      <w:start w:val="1"/>
      <w:numFmt w:val="lowerRoman"/>
      <w:lvlText w:val="%3."/>
      <w:lvlJc w:val="right"/>
      <w:pPr>
        <w:ind w:left="2160" w:hanging="180"/>
      </w:pPr>
    </w:lvl>
    <w:lvl w:ilvl="3" w:tplc="9AB6AC14" w:tentative="1">
      <w:start w:val="1"/>
      <w:numFmt w:val="decimal"/>
      <w:lvlText w:val="%4."/>
      <w:lvlJc w:val="left"/>
      <w:pPr>
        <w:ind w:left="2880" w:hanging="360"/>
      </w:pPr>
    </w:lvl>
    <w:lvl w:ilvl="4" w:tplc="2C2E5D54" w:tentative="1">
      <w:start w:val="1"/>
      <w:numFmt w:val="lowerLetter"/>
      <w:lvlText w:val="%5."/>
      <w:lvlJc w:val="left"/>
      <w:pPr>
        <w:ind w:left="3600" w:hanging="360"/>
      </w:pPr>
    </w:lvl>
    <w:lvl w:ilvl="5" w:tplc="BC5EF108" w:tentative="1">
      <w:start w:val="1"/>
      <w:numFmt w:val="lowerRoman"/>
      <w:lvlText w:val="%6."/>
      <w:lvlJc w:val="right"/>
      <w:pPr>
        <w:ind w:left="4320" w:hanging="180"/>
      </w:pPr>
    </w:lvl>
    <w:lvl w:ilvl="6" w:tplc="6D361DFE" w:tentative="1">
      <w:start w:val="1"/>
      <w:numFmt w:val="decimal"/>
      <w:lvlText w:val="%7."/>
      <w:lvlJc w:val="left"/>
      <w:pPr>
        <w:ind w:left="5040" w:hanging="360"/>
      </w:pPr>
    </w:lvl>
    <w:lvl w:ilvl="7" w:tplc="09902D1A" w:tentative="1">
      <w:start w:val="1"/>
      <w:numFmt w:val="lowerLetter"/>
      <w:lvlText w:val="%8."/>
      <w:lvlJc w:val="left"/>
      <w:pPr>
        <w:ind w:left="5760" w:hanging="360"/>
      </w:pPr>
    </w:lvl>
    <w:lvl w:ilvl="8" w:tplc="B6464C6E" w:tentative="1">
      <w:start w:val="1"/>
      <w:numFmt w:val="lowerRoman"/>
      <w:lvlText w:val="%9."/>
      <w:lvlJc w:val="right"/>
      <w:pPr>
        <w:ind w:left="6480" w:hanging="180"/>
      </w:pPr>
    </w:lvl>
  </w:abstractNum>
  <w:abstractNum w:abstractNumId="3" w15:restartNumberingAfterBreak="0">
    <w:nsid w:val="620E7371"/>
    <w:multiLevelType w:val="hybridMultilevel"/>
    <w:tmpl w:val="E0E0B48A"/>
    <w:lvl w:ilvl="0" w:tplc="397CB1E2">
      <w:start w:val="1"/>
      <w:numFmt w:val="decimal"/>
      <w:lvlText w:val="%1."/>
      <w:lvlJc w:val="left"/>
      <w:pPr>
        <w:ind w:left="720" w:hanging="360"/>
      </w:pPr>
    </w:lvl>
    <w:lvl w:ilvl="1" w:tplc="A4F25344" w:tentative="1">
      <w:start w:val="1"/>
      <w:numFmt w:val="lowerLetter"/>
      <w:lvlText w:val="%2."/>
      <w:lvlJc w:val="left"/>
      <w:pPr>
        <w:ind w:left="1440" w:hanging="360"/>
      </w:pPr>
    </w:lvl>
    <w:lvl w:ilvl="2" w:tplc="E03C1CEA" w:tentative="1">
      <w:start w:val="1"/>
      <w:numFmt w:val="lowerRoman"/>
      <w:lvlText w:val="%3."/>
      <w:lvlJc w:val="right"/>
      <w:pPr>
        <w:ind w:left="2160" w:hanging="180"/>
      </w:pPr>
    </w:lvl>
    <w:lvl w:ilvl="3" w:tplc="9404FC6A" w:tentative="1">
      <w:start w:val="1"/>
      <w:numFmt w:val="decimal"/>
      <w:lvlText w:val="%4."/>
      <w:lvlJc w:val="left"/>
      <w:pPr>
        <w:ind w:left="2880" w:hanging="360"/>
      </w:pPr>
    </w:lvl>
    <w:lvl w:ilvl="4" w:tplc="336E49A0" w:tentative="1">
      <w:start w:val="1"/>
      <w:numFmt w:val="lowerLetter"/>
      <w:lvlText w:val="%5."/>
      <w:lvlJc w:val="left"/>
      <w:pPr>
        <w:ind w:left="3600" w:hanging="360"/>
      </w:pPr>
    </w:lvl>
    <w:lvl w:ilvl="5" w:tplc="E0F6D4CE" w:tentative="1">
      <w:start w:val="1"/>
      <w:numFmt w:val="lowerRoman"/>
      <w:lvlText w:val="%6."/>
      <w:lvlJc w:val="right"/>
      <w:pPr>
        <w:ind w:left="4320" w:hanging="180"/>
      </w:pPr>
    </w:lvl>
    <w:lvl w:ilvl="6" w:tplc="998AC95C" w:tentative="1">
      <w:start w:val="1"/>
      <w:numFmt w:val="decimal"/>
      <w:lvlText w:val="%7."/>
      <w:lvlJc w:val="left"/>
      <w:pPr>
        <w:ind w:left="5040" w:hanging="360"/>
      </w:pPr>
    </w:lvl>
    <w:lvl w:ilvl="7" w:tplc="60B0DE1A" w:tentative="1">
      <w:start w:val="1"/>
      <w:numFmt w:val="lowerLetter"/>
      <w:lvlText w:val="%8."/>
      <w:lvlJc w:val="left"/>
      <w:pPr>
        <w:ind w:left="5760" w:hanging="360"/>
      </w:pPr>
    </w:lvl>
    <w:lvl w:ilvl="8" w:tplc="312EF89C" w:tentative="1">
      <w:start w:val="1"/>
      <w:numFmt w:val="lowerRoman"/>
      <w:lvlText w:val="%9."/>
      <w:lvlJc w:val="right"/>
      <w:pPr>
        <w:ind w:left="6480" w:hanging="180"/>
      </w:pPr>
    </w:lvl>
  </w:abstractNum>
  <w:abstractNum w:abstractNumId="4" w15:restartNumberingAfterBreak="0">
    <w:nsid w:val="633F459D"/>
    <w:multiLevelType w:val="hybridMultilevel"/>
    <w:tmpl w:val="E0E0B48A"/>
    <w:lvl w:ilvl="0" w:tplc="CFC413C6">
      <w:start w:val="1"/>
      <w:numFmt w:val="decimal"/>
      <w:lvlText w:val="%1."/>
      <w:lvlJc w:val="left"/>
      <w:pPr>
        <w:ind w:left="720" w:hanging="360"/>
      </w:pPr>
    </w:lvl>
    <w:lvl w:ilvl="1" w:tplc="E9DC3D3E" w:tentative="1">
      <w:start w:val="1"/>
      <w:numFmt w:val="lowerLetter"/>
      <w:lvlText w:val="%2."/>
      <w:lvlJc w:val="left"/>
      <w:pPr>
        <w:ind w:left="1440" w:hanging="360"/>
      </w:pPr>
    </w:lvl>
    <w:lvl w:ilvl="2" w:tplc="C3CA8D50" w:tentative="1">
      <w:start w:val="1"/>
      <w:numFmt w:val="lowerRoman"/>
      <w:lvlText w:val="%3."/>
      <w:lvlJc w:val="right"/>
      <w:pPr>
        <w:ind w:left="2160" w:hanging="180"/>
      </w:pPr>
    </w:lvl>
    <w:lvl w:ilvl="3" w:tplc="D9F2C3E2" w:tentative="1">
      <w:start w:val="1"/>
      <w:numFmt w:val="decimal"/>
      <w:lvlText w:val="%4."/>
      <w:lvlJc w:val="left"/>
      <w:pPr>
        <w:ind w:left="2880" w:hanging="360"/>
      </w:pPr>
    </w:lvl>
    <w:lvl w:ilvl="4" w:tplc="61EE4FAA" w:tentative="1">
      <w:start w:val="1"/>
      <w:numFmt w:val="lowerLetter"/>
      <w:lvlText w:val="%5."/>
      <w:lvlJc w:val="left"/>
      <w:pPr>
        <w:ind w:left="3600" w:hanging="360"/>
      </w:pPr>
    </w:lvl>
    <w:lvl w:ilvl="5" w:tplc="8BE45386" w:tentative="1">
      <w:start w:val="1"/>
      <w:numFmt w:val="lowerRoman"/>
      <w:lvlText w:val="%6."/>
      <w:lvlJc w:val="right"/>
      <w:pPr>
        <w:ind w:left="4320" w:hanging="180"/>
      </w:pPr>
    </w:lvl>
    <w:lvl w:ilvl="6" w:tplc="B1D818CE" w:tentative="1">
      <w:start w:val="1"/>
      <w:numFmt w:val="decimal"/>
      <w:lvlText w:val="%7."/>
      <w:lvlJc w:val="left"/>
      <w:pPr>
        <w:ind w:left="5040" w:hanging="360"/>
      </w:pPr>
    </w:lvl>
    <w:lvl w:ilvl="7" w:tplc="034E3548" w:tentative="1">
      <w:start w:val="1"/>
      <w:numFmt w:val="lowerLetter"/>
      <w:lvlText w:val="%8."/>
      <w:lvlJc w:val="left"/>
      <w:pPr>
        <w:ind w:left="5760" w:hanging="360"/>
      </w:pPr>
    </w:lvl>
    <w:lvl w:ilvl="8" w:tplc="605662C2"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572"/>
    <w:rsid w:val="00037B99"/>
    <w:rsid w:val="00050818"/>
    <w:rsid w:val="00064BAA"/>
    <w:rsid w:val="00074A95"/>
    <w:rsid w:val="00091EAA"/>
    <w:rsid w:val="000A3492"/>
    <w:rsid w:val="000A665D"/>
    <w:rsid w:val="000A6DB5"/>
    <w:rsid w:val="000B0DFE"/>
    <w:rsid w:val="000B5DE1"/>
    <w:rsid w:val="000D5D9B"/>
    <w:rsid w:val="000E56F4"/>
    <w:rsid w:val="000F64A5"/>
    <w:rsid w:val="001034EE"/>
    <w:rsid w:val="00113BE5"/>
    <w:rsid w:val="00122BB6"/>
    <w:rsid w:val="0013096B"/>
    <w:rsid w:val="00167A6D"/>
    <w:rsid w:val="00171587"/>
    <w:rsid w:val="0018379A"/>
    <w:rsid w:val="00192DE7"/>
    <w:rsid w:val="001B29C8"/>
    <w:rsid w:val="001C4A42"/>
    <w:rsid w:val="002050BB"/>
    <w:rsid w:val="0020735E"/>
    <w:rsid w:val="00216665"/>
    <w:rsid w:val="002960EE"/>
    <w:rsid w:val="002C033D"/>
    <w:rsid w:val="002C2016"/>
    <w:rsid w:val="002F32F8"/>
    <w:rsid w:val="00303664"/>
    <w:rsid w:val="003307C4"/>
    <w:rsid w:val="0035453B"/>
    <w:rsid w:val="0038359A"/>
    <w:rsid w:val="003930B7"/>
    <w:rsid w:val="003A6535"/>
    <w:rsid w:val="003B4B3E"/>
    <w:rsid w:val="003C29F5"/>
    <w:rsid w:val="003E0625"/>
    <w:rsid w:val="003E475C"/>
    <w:rsid w:val="0040516C"/>
    <w:rsid w:val="00434095"/>
    <w:rsid w:val="00450941"/>
    <w:rsid w:val="00456485"/>
    <w:rsid w:val="00460557"/>
    <w:rsid w:val="00460AAD"/>
    <w:rsid w:val="00462F8E"/>
    <w:rsid w:val="00480C33"/>
    <w:rsid w:val="004B3C62"/>
    <w:rsid w:val="004C123E"/>
    <w:rsid w:val="004C2C8B"/>
    <w:rsid w:val="004C6148"/>
    <w:rsid w:val="004E7FEC"/>
    <w:rsid w:val="00500770"/>
    <w:rsid w:val="005160DD"/>
    <w:rsid w:val="005464AD"/>
    <w:rsid w:val="00546C64"/>
    <w:rsid w:val="00551C29"/>
    <w:rsid w:val="005538BD"/>
    <w:rsid w:val="00554AE3"/>
    <w:rsid w:val="00554DD0"/>
    <w:rsid w:val="00572E16"/>
    <w:rsid w:val="005809ED"/>
    <w:rsid w:val="00594886"/>
    <w:rsid w:val="005A6D15"/>
    <w:rsid w:val="005A7613"/>
    <w:rsid w:val="005B3DAF"/>
    <w:rsid w:val="005B53AF"/>
    <w:rsid w:val="005E0012"/>
    <w:rsid w:val="006008B1"/>
    <w:rsid w:val="00615072"/>
    <w:rsid w:val="00616BF6"/>
    <w:rsid w:val="006343EC"/>
    <w:rsid w:val="00644EBF"/>
    <w:rsid w:val="0064585E"/>
    <w:rsid w:val="00660074"/>
    <w:rsid w:val="006A6D93"/>
    <w:rsid w:val="006B0C84"/>
    <w:rsid w:val="006B17CB"/>
    <w:rsid w:val="006B1A61"/>
    <w:rsid w:val="006B2C60"/>
    <w:rsid w:val="006B4E5B"/>
    <w:rsid w:val="006B589C"/>
    <w:rsid w:val="006C38A3"/>
    <w:rsid w:val="006C5240"/>
    <w:rsid w:val="006C623C"/>
    <w:rsid w:val="006C643B"/>
    <w:rsid w:val="006D423A"/>
    <w:rsid w:val="006F6E79"/>
    <w:rsid w:val="007117F2"/>
    <w:rsid w:val="00715C4B"/>
    <w:rsid w:val="007370BE"/>
    <w:rsid w:val="00752E45"/>
    <w:rsid w:val="00755FAC"/>
    <w:rsid w:val="0079244D"/>
    <w:rsid w:val="0079626A"/>
    <w:rsid w:val="007A06A9"/>
    <w:rsid w:val="007A6CE5"/>
    <w:rsid w:val="007B40E4"/>
    <w:rsid w:val="007C511F"/>
    <w:rsid w:val="007D166F"/>
    <w:rsid w:val="007E2572"/>
    <w:rsid w:val="007F6E7F"/>
    <w:rsid w:val="00815007"/>
    <w:rsid w:val="00816242"/>
    <w:rsid w:val="00831726"/>
    <w:rsid w:val="008379BC"/>
    <w:rsid w:val="00846953"/>
    <w:rsid w:val="008478B1"/>
    <w:rsid w:val="00851D26"/>
    <w:rsid w:val="0085562C"/>
    <w:rsid w:val="00866EAD"/>
    <w:rsid w:val="00875E7E"/>
    <w:rsid w:val="00885298"/>
    <w:rsid w:val="00886830"/>
    <w:rsid w:val="00893254"/>
    <w:rsid w:val="008C4C42"/>
    <w:rsid w:val="008D3EED"/>
    <w:rsid w:val="008E0564"/>
    <w:rsid w:val="008E6DA7"/>
    <w:rsid w:val="00910CCA"/>
    <w:rsid w:val="009656F2"/>
    <w:rsid w:val="009721DB"/>
    <w:rsid w:val="009760A9"/>
    <w:rsid w:val="0097766D"/>
    <w:rsid w:val="009A0993"/>
    <w:rsid w:val="009D5398"/>
    <w:rsid w:val="009D67B5"/>
    <w:rsid w:val="00A037EA"/>
    <w:rsid w:val="00A076F3"/>
    <w:rsid w:val="00A11B7E"/>
    <w:rsid w:val="00A22FAF"/>
    <w:rsid w:val="00A24FAF"/>
    <w:rsid w:val="00A31490"/>
    <w:rsid w:val="00A60CD1"/>
    <w:rsid w:val="00A63F20"/>
    <w:rsid w:val="00AB0FEC"/>
    <w:rsid w:val="00AB6194"/>
    <w:rsid w:val="00AC58AE"/>
    <w:rsid w:val="00AC70D5"/>
    <w:rsid w:val="00AD468D"/>
    <w:rsid w:val="00AD7AFC"/>
    <w:rsid w:val="00AE490E"/>
    <w:rsid w:val="00AF7824"/>
    <w:rsid w:val="00B01655"/>
    <w:rsid w:val="00B1566E"/>
    <w:rsid w:val="00B176D4"/>
    <w:rsid w:val="00B21129"/>
    <w:rsid w:val="00B31065"/>
    <w:rsid w:val="00B32F97"/>
    <w:rsid w:val="00B341D4"/>
    <w:rsid w:val="00B46296"/>
    <w:rsid w:val="00B5250F"/>
    <w:rsid w:val="00B91680"/>
    <w:rsid w:val="00BA7FAF"/>
    <w:rsid w:val="00BB2F40"/>
    <w:rsid w:val="00C04004"/>
    <w:rsid w:val="00C04A14"/>
    <w:rsid w:val="00C40C8F"/>
    <w:rsid w:val="00C5486E"/>
    <w:rsid w:val="00C73190"/>
    <w:rsid w:val="00C9351E"/>
    <w:rsid w:val="00CA53C7"/>
    <w:rsid w:val="00CB6AA0"/>
    <w:rsid w:val="00CB7F0E"/>
    <w:rsid w:val="00CC1B68"/>
    <w:rsid w:val="00CC72B9"/>
    <w:rsid w:val="00CD019B"/>
    <w:rsid w:val="00CD30EE"/>
    <w:rsid w:val="00CE6E3E"/>
    <w:rsid w:val="00CF0887"/>
    <w:rsid w:val="00CF310F"/>
    <w:rsid w:val="00D07EBD"/>
    <w:rsid w:val="00D17203"/>
    <w:rsid w:val="00D31D91"/>
    <w:rsid w:val="00D33ACA"/>
    <w:rsid w:val="00D47605"/>
    <w:rsid w:val="00D65935"/>
    <w:rsid w:val="00D90523"/>
    <w:rsid w:val="00D95B97"/>
    <w:rsid w:val="00DA59F9"/>
    <w:rsid w:val="00DA60FE"/>
    <w:rsid w:val="00DC1B59"/>
    <w:rsid w:val="00DC4D72"/>
    <w:rsid w:val="00DD36ED"/>
    <w:rsid w:val="00DE1AA2"/>
    <w:rsid w:val="00DE703A"/>
    <w:rsid w:val="00DE74CB"/>
    <w:rsid w:val="00E043EB"/>
    <w:rsid w:val="00E32126"/>
    <w:rsid w:val="00E45C42"/>
    <w:rsid w:val="00E5748B"/>
    <w:rsid w:val="00E83DEB"/>
    <w:rsid w:val="00E843E4"/>
    <w:rsid w:val="00E8624E"/>
    <w:rsid w:val="00EC08C8"/>
    <w:rsid w:val="00EC3D53"/>
    <w:rsid w:val="00ED1CFA"/>
    <w:rsid w:val="00ED30A7"/>
    <w:rsid w:val="00EE3420"/>
    <w:rsid w:val="00EF0ADF"/>
    <w:rsid w:val="00EF35DD"/>
    <w:rsid w:val="00EF565D"/>
    <w:rsid w:val="00F014DD"/>
    <w:rsid w:val="00F26F38"/>
    <w:rsid w:val="00F37199"/>
    <w:rsid w:val="00F52D88"/>
    <w:rsid w:val="00F743DE"/>
    <w:rsid w:val="00F82B1E"/>
    <w:rsid w:val="00FB40A4"/>
    <w:rsid w:val="00FB738A"/>
    <w:rsid w:val="00FB77D4"/>
    <w:rsid w:val="00FD59C8"/>
    <w:rsid w:val="00FD64BA"/>
    <w:rsid w:val="00FF359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F0C00"/>
  <w15:docId w15:val="{22954662-E930-4DCF-B683-ED3B59A7B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d" w:eastAsia="en-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5">
    <w:name w:val="5"/>
    <w:basedOn w:val="TableNormal"/>
    <w:rPr>
      <w:sz w:val="24"/>
      <w:szCs w:val="24"/>
    </w:rPr>
    <w:tblPr>
      <w:tblStyleRowBandSize w:val="1"/>
      <w:tblStyleColBandSize w:val="1"/>
      <w:tblCellMar>
        <w:top w:w="15" w:type="dxa"/>
        <w:left w:w="115" w:type="dxa"/>
        <w:bottom w:w="15" w:type="dxa"/>
        <w:right w:w="115" w:type="dxa"/>
      </w:tblCellMar>
    </w:tblPr>
  </w:style>
  <w:style w:type="table" w:customStyle="1" w:styleId="4">
    <w:name w:val="4"/>
    <w:basedOn w:val="TableNormal"/>
    <w:rPr>
      <w:sz w:val="24"/>
      <w:szCs w:val="24"/>
    </w:rPr>
    <w:tblPr>
      <w:tblStyleRowBandSize w:val="1"/>
      <w:tblStyleColBandSize w:val="1"/>
      <w:tblCellMar>
        <w:top w:w="15" w:type="dxa"/>
        <w:left w:w="115" w:type="dxa"/>
        <w:bottom w:w="15" w:type="dxa"/>
        <w:right w:w="115" w:type="dxa"/>
      </w:tblCellMar>
    </w:tblPr>
  </w:style>
  <w:style w:type="table" w:customStyle="1" w:styleId="3">
    <w:name w:val="3"/>
    <w:basedOn w:val="TableNormal"/>
    <w:rPr>
      <w:sz w:val="24"/>
      <w:szCs w:val="24"/>
    </w:rPr>
    <w:tblPr>
      <w:tblStyleRowBandSize w:val="1"/>
      <w:tblStyleColBandSize w:val="1"/>
      <w:tblCellMar>
        <w:top w:w="15" w:type="dxa"/>
        <w:left w:w="115" w:type="dxa"/>
        <w:bottom w:w="15" w:type="dxa"/>
        <w:right w:w="115" w:type="dxa"/>
      </w:tblCellMar>
    </w:tblPr>
  </w:style>
  <w:style w:type="table" w:customStyle="1" w:styleId="2">
    <w:name w:val="2"/>
    <w:basedOn w:val="TableNormal"/>
    <w:rPr>
      <w:sz w:val="24"/>
      <w:szCs w:val="24"/>
    </w:rPr>
    <w:tblPr>
      <w:tblStyleRowBandSize w:val="1"/>
      <w:tblStyleColBandSize w:val="1"/>
      <w:tblCellMar>
        <w:top w:w="15" w:type="dxa"/>
        <w:left w:w="115" w:type="dxa"/>
        <w:bottom w:w="15" w:type="dxa"/>
        <w:right w:w="115" w:type="dxa"/>
      </w:tblCellMar>
    </w:tblPr>
  </w:style>
  <w:style w:type="table" w:customStyle="1" w:styleId="1">
    <w:name w:val="1"/>
    <w:basedOn w:val="TableNormal"/>
    <w:rPr>
      <w:sz w:val="24"/>
      <w:szCs w:val="24"/>
    </w:rPr>
    <w:tblPr>
      <w:tblStyleRowBandSize w:val="1"/>
      <w:tblStyleColBandSize w:val="1"/>
      <w:tblCellMar>
        <w:top w:w="15" w:type="dxa"/>
        <w:left w:w="115" w:type="dxa"/>
        <w:bottom w:w="15" w:type="dxa"/>
        <w:right w:w="115" w:type="dxa"/>
      </w:tblCellMar>
    </w:tblPr>
  </w:style>
  <w:style w:type="paragraph" w:styleId="Header">
    <w:name w:val="header"/>
    <w:basedOn w:val="Normal"/>
    <w:link w:val="HeaderChar"/>
    <w:uiPriority w:val="99"/>
    <w:unhideWhenUsed/>
    <w:rsid w:val="00460AAD"/>
    <w:pPr>
      <w:tabs>
        <w:tab w:val="center" w:pos="4513"/>
        <w:tab w:val="right" w:pos="9026"/>
      </w:tabs>
    </w:pPr>
  </w:style>
  <w:style w:type="character" w:customStyle="1" w:styleId="HeaderChar">
    <w:name w:val="Header Char"/>
    <w:basedOn w:val="DefaultParagraphFont"/>
    <w:link w:val="Header"/>
    <w:uiPriority w:val="99"/>
    <w:rsid w:val="00460AAD"/>
  </w:style>
  <w:style w:type="paragraph" w:styleId="Footer">
    <w:name w:val="footer"/>
    <w:basedOn w:val="Normal"/>
    <w:link w:val="FooterChar"/>
    <w:uiPriority w:val="99"/>
    <w:unhideWhenUsed/>
    <w:rsid w:val="00460AAD"/>
    <w:pPr>
      <w:tabs>
        <w:tab w:val="center" w:pos="4513"/>
        <w:tab w:val="right" w:pos="9026"/>
      </w:tabs>
    </w:pPr>
  </w:style>
  <w:style w:type="character" w:customStyle="1" w:styleId="FooterChar">
    <w:name w:val="Footer Char"/>
    <w:basedOn w:val="DefaultParagraphFont"/>
    <w:link w:val="Footer"/>
    <w:uiPriority w:val="99"/>
    <w:rsid w:val="00460AAD"/>
  </w:style>
  <w:style w:type="character" w:styleId="Hyperlink">
    <w:name w:val="Hyperlink"/>
    <w:basedOn w:val="DefaultParagraphFont"/>
    <w:uiPriority w:val="99"/>
    <w:unhideWhenUsed/>
    <w:rsid w:val="00D17203"/>
    <w:rPr>
      <w:color w:val="0000FF" w:themeColor="hyperlink"/>
      <w:u w:val="single"/>
    </w:rPr>
  </w:style>
  <w:style w:type="character" w:customStyle="1" w:styleId="UnresolvedMention1">
    <w:name w:val="Unresolved Mention1"/>
    <w:basedOn w:val="DefaultParagraphFont"/>
    <w:uiPriority w:val="99"/>
    <w:semiHidden/>
    <w:unhideWhenUsed/>
    <w:rsid w:val="00D17203"/>
    <w:rPr>
      <w:color w:val="605E5C"/>
      <w:shd w:val="clear" w:color="auto" w:fill="E1DFDD"/>
    </w:rPr>
  </w:style>
  <w:style w:type="paragraph" w:customStyle="1" w:styleId="AuthAdds">
    <w:name w:val="AuthAdds"/>
    <w:aliases w:val="ADR"/>
    <w:basedOn w:val="Normal"/>
    <w:next w:val="Normal"/>
    <w:rsid w:val="00C40C8F"/>
    <w:pPr>
      <w:widowControl w:val="0"/>
      <w:spacing w:after="200" w:line="240" w:lineRule="atLeast"/>
      <w:ind w:left="3096"/>
    </w:pPr>
    <w:rPr>
      <w:szCs w:val="24"/>
      <w:lang w:val="en-GB" w:eastAsia="en-US" w:bidi="th-TH"/>
    </w:rPr>
  </w:style>
  <w:style w:type="paragraph" w:customStyle="1" w:styleId="Default">
    <w:name w:val="Default"/>
    <w:rsid w:val="00C40C8F"/>
    <w:pPr>
      <w:autoSpaceDE w:val="0"/>
      <w:autoSpaceDN w:val="0"/>
      <w:adjustRightInd w:val="0"/>
    </w:pPr>
    <w:rPr>
      <w:rFonts w:eastAsiaTheme="minorHAnsi"/>
      <w:color w:val="000000"/>
      <w:sz w:val="24"/>
      <w:szCs w:val="24"/>
      <w:lang w:val="en-US" w:eastAsia="en-US" w:bidi="th-TH"/>
    </w:rPr>
  </w:style>
  <w:style w:type="paragraph" w:styleId="ListParagraph">
    <w:name w:val="List Paragraph"/>
    <w:basedOn w:val="Normal"/>
    <w:link w:val="ListParagraphChar"/>
    <w:uiPriority w:val="34"/>
    <w:qFormat/>
    <w:rsid w:val="005E0012"/>
    <w:pPr>
      <w:spacing w:after="200" w:line="276" w:lineRule="auto"/>
      <w:ind w:left="720"/>
      <w:contextualSpacing/>
    </w:pPr>
    <w:rPr>
      <w:rFonts w:ascii="Calibri" w:hAnsi="Calibri"/>
      <w:sz w:val="22"/>
      <w:szCs w:val="22"/>
      <w:lang w:val="en-US" w:eastAsia="ja-JP"/>
    </w:rPr>
  </w:style>
  <w:style w:type="character" w:customStyle="1" w:styleId="ListParagraphChar">
    <w:name w:val="List Paragraph Char"/>
    <w:basedOn w:val="DefaultParagraphFont"/>
    <w:link w:val="ListParagraph"/>
    <w:uiPriority w:val="34"/>
    <w:rsid w:val="005E0012"/>
    <w:rPr>
      <w:rFonts w:ascii="Calibri" w:hAnsi="Calibri"/>
      <w:sz w:val="22"/>
      <w:szCs w:val="22"/>
      <w:lang w:val="en-US" w:eastAsia="ja-JP"/>
    </w:rPr>
  </w:style>
  <w:style w:type="table" w:customStyle="1" w:styleId="PlainTable21">
    <w:name w:val="Plain Table 21"/>
    <w:basedOn w:val="TableNormal"/>
    <w:uiPriority w:val="42"/>
    <w:rsid w:val="005E0012"/>
    <w:rPr>
      <w:rFonts w:asciiTheme="minorHAnsi" w:eastAsiaTheme="minorHAnsi" w:hAnsiTheme="minorHAnsi" w:cstheme="minorBidi"/>
      <w:kern w:val="2"/>
      <w:sz w:val="22"/>
      <w:szCs w:val="28"/>
      <w:lang w:val="en-ID" w:eastAsia="en-US" w:bidi="th-TH"/>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ext">
    <w:name w:val="Text"/>
    <w:basedOn w:val="Normal"/>
    <w:link w:val="TextChar"/>
    <w:qFormat/>
    <w:rsid w:val="005E0012"/>
    <w:pPr>
      <w:ind w:firstLine="567"/>
      <w:jc w:val="both"/>
    </w:pPr>
    <w:rPr>
      <w:rFonts w:ascii="Tahoma" w:hAnsi="Tahoma" w:cs="Tahoma"/>
      <w:color w:val="222222"/>
      <w:shd w:val="clear" w:color="auto" w:fill="FFFFFF"/>
      <w:lang w:val="en-US" w:eastAsia="en-US" w:bidi="th-TH"/>
    </w:rPr>
  </w:style>
  <w:style w:type="character" w:customStyle="1" w:styleId="TextChar">
    <w:name w:val="Text Char"/>
    <w:basedOn w:val="DefaultParagraphFont"/>
    <w:link w:val="Text"/>
    <w:rsid w:val="005E0012"/>
    <w:rPr>
      <w:rFonts w:ascii="Tahoma" w:hAnsi="Tahoma" w:cs="Tahoma"/>
      <w:color w:val="222222"/>
      <w:lang w:val="en-US" w:eastAsia="en-US" w:bidi="th-TH"/>
    </w:rPr>
  </w:style>
  <w:style w:type="character" w:styleId="PlaceholderText">
    <w:name w:val="Placeholder Text"/>
    <w:basedOn w:val="DefaultParagraphFont"/>
    <w:uiPriority w:val="99"/>
    <w:semiHidden/>
    <w:rsid w:val="005E0012"/>
    <w:rPr>
      <w:color w:val="666666"/>
    </w:rPr>
  </w:style>
  <w:style w:type="character" w:styleId="CommentReference">
    <w:name w:val="annotation reference"/>
    <w:basedOn w:val="DefaultParagraphFont"/>
    <w:uiPriority w:val="99"/>
    <w:semiHidden/>
    <w:unhideWhenUsed/>
    <w:rsid w:val="00CF0887"/>
    <w:rPr>
      <w:sz w:val="16"/>
      <w:szCs w:val="16"/>
    </w:rPr>
  </w:style>
  <w:style w:type="paragraph" w:styleId="CommentText">
    <w:name w:val="annotation text"/>
    <w:basedOn w:val="Normal"/>
    <w:link w:val="CommentTextChar"/>
    <w:uiPriority w:val="99"/>
    <w:unhideWhenUsed/>
    <w:rsid w:val="00CF0887"/>
  </w:style>
  <w:style w:type="character" w:customStyle="1" w:styleId="CommentTextChar">
    <w:name w:val="Comment Text Char"/>
    <w:basedOn w:val="DefaultParagraphFont"/>
    <w:link w:val="CommentText"/>
    <w:uiPriority w:val="99"/>
    <w:rsid w:val="00CF0887"/>
  </w:style>
  <w:style w:type="paragraph" w:styleId="CommentSubject">
    <w:name w:val="annotation subject"/>
    <w:basedOn w:val="CommentText"/>
    <w:next w:val="CommentText"/>
    <w:link w:val="CommentSubjectChar"/>
    <w:uiPriority w:val="99"/>
    <w:semiHidden/>
    <w:unhideWhenUsed/>
    <w:rsid w:val="00CF0887"/>
    <w:rPr>
      <w:b/>
      <w:bCs/>
    </w:rPr>
  </w:style>
  <w:style w:type="character" w:customStyle="1" w:styleId="CommentSubjectChar">
    <w:name w:val="Comment Subject Char"/>
    <w:basedOn w:val="CommentTextChar"/>
    <w:link w:val="CommentSubject"/>
    <w:uiPriority w:val="99"/>
    <w:semiHidden/>
    <w:rsid w:val="00CF0887"/>
    <w:rPr>
      <w:b/>
      <w:bCs/>
    </w:rPr>
  </w:style>
  <w:style w:type="character" w:styleId="FollowedHyperlink">
    <w:name w:val="FollowedHyperlink"/>
    <w:basedOn w:val="DefaultParagraphFont"/>
    <w:uiPriority w:val="99"/>
    <w:semiHidden/>
    <w:unhideWhenUsed/>
    <w:rsid w:val="00A076F3"/>
    <w:rPr>
      <w:color w:val="800080" w:themeColor="followedHyperlink"/>
      <w:u w:val="single"/>
    </w:rPr>
  </w:style>
  <w:style w:type="paragraph" w:styleId="NormalWeb">
    <w:name w:val="Normal (Web)"/>
    <w:basedOn w:val="Normal"/>
    <w:uiPriority w:val="99"/>
    <w:semiHidden/>
    <w:unhideWhenUsed/>
    <w:rsid w:val="007A6CE5"/>
    <w:rPr>
      <w:sz w:val="24"/>
      <w:szCs w:val="24"/>
    </w:rPr>
  </w:style>
  <w:style w:type="paragraph" w:styleId="BalloonText">
    <w:name w:val="Balloon Text"/>
    <w:basedOn w:val="Normal"/>
    <w:link w:val="BalloonTextChar"/>
    <w:uiPriority w:val="99"/>
    <w:semiHidden/>
    <w:unhideWhenUsed/>
    <w:rsid w:val="003E475C"/>
    <w:rPr>
      <w:rFonts w:ascii="Tahoma" w:hAnsi="Tahoma" w:cs="Tahoma"/>
      <w:sz w:val="16"/>
      <w:szCs w:val="16"/>
    </w:rPr>
  </w:style>
  <w:style w:type="character" w:customStyle="1" w:styleId="BalloonTextChar">
    <w:name w:val="Balloon Text Char"/>
    <w:basedOn w:val="DefaultParagraphFont"/>
    <w:link w:val="BalloonText"/>
    <w:uiPriority w:val="99"/>
    <w:semiHidden/>
    <w:rsid w:val="003E475C"/>
    <w:rPr>
      <w:rFonts w:ascii="Tahoma" w:hAnsi="Tahoma" w:cs="Tahoma"/>
      <w:sz w:val="16"/>
      <w:szCs w:val="16"/>
    </w:rPr>
  </w:style>
  <w:style w:type="character" w:customStyle="1" w:styleId="Heading3Char">
    <w:name w:val="Heading 3 Char"/>
    <w:basedOn w:val="DefaultParagraphFont"/>
    <w:link w:val="Heading3"/>
    <w:uiPriority w:val="9"/>
    <w:semiHidden/>
    <w:rsid w:val="002F32F8"/>
    <w:rPr>
      <w:b/>
      <w:sz w:val="28"/>
      <w:szCs w:val="28"/>
    </w:rPr>
  </w:style>
  <w:style w:type="character" w:styleId="Strong">
    <w:name w:val="Strong"/>
    <w:basedOn w:val="DefaultParagraphFont"/>
    <w:uiPriority w:val="22"/>
    <w:qFormat/>
    <w:rsid w:val="002F32F8"/>
    <w:rPr>
      <w:b/>
      <w:bCs/>
    </w:rPr>
  </w:style>
  <w:style w:type="paragraph" w:styleId="Caption">
    <w:name w:val="caption"/>
    <w:basedOn w:val="Normal"/>
    <w:next w:val="Normal"/>
    <w:uiPriority w:val="35"/>
    <w:unhideWhenUsed/>
    <w:qFormat/>
    <w:rsid w:val="00C9351E"/>
    <w:pPr>
      <w:spacing w:after="200"/>
    </w:pPr>
    <w:rPr>
      <w:i/>
      <w:iCs/>
      <w:color w:val="1F497D" w:themeColor="text2"/>
      <w:sz w:val="18"/>
      <w:szCs w:val="18"/>
    </w:rPr>
  </w:style>
  <w:style w:type="character" w:customStyle="1" w:styleId="UnresolvedMention">
    <w:name w:val="Unresolved Mention"/>
    <w:basedOn w:val="DefaultParagraphFont"/>
    <w:uiPriority w:val="99"/>
    <w:semiHidden/>
    <w:unhideWhenUsed/>
    <w:rsid w:val="005A76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doi.org/10.5539/ijbm.v7n9p189" TargetMode="External"/><Relationship Id="rId26" Type="http://schemas.openxmlformats.org/officeDocument/2006/relationships/hyperlink" Target="https://doi.org/10.1080/1351847X.2019.1646666" TargetMode="External"/><Relationship Id="rId39" Type="http://schemas.openxmlformats.org/officeDocument/2006/relationships/hyperlink" Target="https://doi.org/10.52690/jswse.v6i2.1195" TargetMode="External"/><Relationship Id="rId21" Type="http://schemas.openxmlformats.org/officeDocument/2006/relationships/hyperlink" Target="https://doi.org/10.17549/gbfr.2025.30.10.216" TargetMode="External"/><Relationship Id="rId34" Type="http://schemas.openxmlformats.org/officeDocument/2006/relationships/hyperlink" Target="https://doi.org/10.5465/amr.1998.533225" TargetMode="External"/><Relationship Id="rId42" Type="http://schemas.openxmlformats.org/officeDocument/2006/relationships/hyperlink" Target="https://doi.org/10.1016/j.jbusvent.2023.106248"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doi.org/10.59670/ml.v21iS2.987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70716/ecoma.v4i2.515" TargetMode="External"/><Relationship Id="rId24" Type="http://schemas.openxmlformats.org/officeDocument/2006/relationships/hyperlink" Target="https://doi.org/10.3233/atde250123" TargetMode="External"/><Relationship Id="rId32" Type="http://schemas.openxmlformats.org/officeDocument/2006/relationships/hyperlink" Target="https://doi.org/10.21203/rs.3.rs-7535443/v1" TargetMode="External"/><Relationship Id="rId37" Type="http://schemas.openxmlformats.org/officeDocument/2006/relationships/hyperlink" Target="https://doi.org/10.1504/IJTIP.2025.10067890" TargetMode="External"/><Relationship Id="rId40" Type="http://schemas.openxmlformats.org/officeDocument/2006/relationships/hyperlink" Target="https://doi.org/10.69593/ajbais.v4i3.79" TargetMode="External"/><Relationship Id="rId45"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yperlink" Target="https://doi.org/10.1016/j.iree.2019.100173" TargetMode="External"/><Relationship Id="rId28" Type="http://schemas.openxmlformats.org/officeDocument/2006/relationships/hyperlink" Target="https://doi.org/10.1108/EBR-11-2018-0203" TargetMode="External"/><Relationship Id="rId36" Type="http://schemas.openxmlformats.org/officeDocument/2006/relationships/hyperlink" Target="https://doi.org/10.4018/979-8-3373-0725-1.ch013" TargetMode="External"/><Relationship Id="rId10" Type="http://schemas.openxmlformats.org/officeDocument/2006/relationships/image" Target="media/image1.png"/><Relationship Id="rId19" Type="http://schemas.openxmlformats.org/officeDocument/2006/relationships/hyperlink" Target="https://doi.org/10.61132/lokawati.v2i1.515" TargetMode="External"/><Relationship Id="rId31" Type="http://schemas.openxmlformats.org/officeDocument/2006/relationships/hyperlink" Target="https://doi.org/10.1016/j.jik.2020.06.001" TargetMode="Externa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doi.org/10.70716/ecoma.v4i2.515" TargetMode="External"/><Relationship Id="rId14" Type="http://schemas.openxmlformats.org/officeDocument/2006/relationships/footer" Target="footer2.xml"/><Relationship Id="rId22" Type="http://schemas.openxmlformats.org/officeDocument/2006/relationships/hyperlink" Target="https://doi.org/10.1177/014920639101700108" TargetMode="External"/><Relationship Id="rId27" Type="http://schemas.openxmlformats.org/officeDocument/2006/relationships/hyperlink" Target="https://doi.org/10.21070/ijler.v19i4.1160" TargetMode="External"/><Relationship Id="rId30" Type="http://schemas.openxmlformats.org/officeDocument/2006/relationships/hyperlink" Target="https://doi.org/10.1257/jel.52.1.5" TargetMode="External"/><Relationship Id="rId35" Type="http://schemas.openxmlformats.org/officeDocument/2006/relationships/hyperlink" Target="https://doi.org/10.59841/jurai.v2i4.2166" TargetMode="External"/><Relationship Id="rId43" Type="http://schemas.openxmlformats.org/officeDocument/2006/relationships/hyperlink" Target="https://doi.org/10.1162/asep_a_00845"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hyperlink" Target="https://doi.org/10.29333/jisem/14115" TargetMode="External"/><Relationship Id="rId25" Type="http://schemas.openxmlformats.org/officeDocument/2006/relationships/hyperlink" Target="https://doi.org/10.1108/00251749810204142" TargetMode="External"/><Relationship Id="rId33" Type="http://schemas.openxmlformats.org/officeDocument/2006/relationships/hyperlink" Target="https://doi.org/10.1016/0361-3682(88)90018-9" TargetMode="External"/><Relationship Id="rId38" Type="http://schemas.openxmlformats.org/officeDocument/2006/relationships/hyperlink" Target="https://doi.org/10.5465/amj.2005.17407911" TargetMode="External"/><Relationship Id="rId46" Type="http://schemas.openxmlformats.org/officeDocument/2006/relationships/theme" Target="theme/theme1.xml"/><Relationship Id="rId20" Type="http://schemas.openxmlformats.org/officeDocument/2006/relationships/hyperlink" Target="https://doi.org/10.20885/jsb.vol20.iss1.art1" TargetMode="External"/><Relationship Id="rId41" Type="http://schemas.openxmlformats.org/officeDocument/2006/relationships/hyperlink" Target="https://doi.org/10.1016/j.jebo.2018.08.019"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sa/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sa/4.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71CF0D2E24A4B9FADB5EB73DA3D467C"/>
        <w:category>
          <w:name w:val="General"/>
          <w:gallery w:val="placeholder"/>
        </w:category>
        <w:types>
          <w:type w:val="bbPlcHdr"/>
        </w:types>
        <w:behaviors>
          <w:behavior w:val="content"/>
        </w:behaviors>
        <w:guid w:val="{CF4D7D33-402A-4F8F-8D5A-04E807135F17}"/>
      </w:docPartPr>
      <w:docPartBody>
        <w:p w:rsidR="00ED1CFA" w:rsidRDefault="00B05F8B" w:rsidP="00DE703A">
          <w:pPr>
            <w:pStyle w:val="D71CF0D2E24A4B9FADB5EB73DA3D467C"/>
          </w:pPr>
          <w:r w:rsidRPr="00815007">
            <w:rPr>
              <w:rStyle w:val="PlaceholderText"/>
            </w:rPr>
            <w:t>Click or tap here to enter text.</w:t>
          </w:r>
        </w:p>
      </w:docPartBody>
    </w:docPart>
    <w:docPart>
      <w:docPartPr>
        <w:name w:val="349A15EBB5F440CF8F5008C0BBAE3E9C"/>
        <w:category>
          <w:name w:val="General"/>
          <w:gallery w:val="placeholder"/>
        </w:category>
        <w:types>
          <w:type w:val="bbPlcHdr"/>
        </w:types>
        <w:behaviors>
          <w:behavior w:val="content"/>
        </w:behaviors>
        <w:guid w:val="{1EC59584-2C2D-4889-9949-63102FD74F53}"/>
      </w:docPartPr>
      <w:docPartBody>
        <w:p w:rsidR="00ED1CFA" w:rsidRDefault="00B05F8B" w:rsidP="00DE703A">
          <w:pPr>
            <w:pStyle w:val="349A15EBB5F440CF8F5008C0BBAE3E9C"/>
          </w:pPr>
          <w:r w:rsidRPr="00815007">
            <w:rPr>
              <w:rStyle w:val="PlaceholderText"/>
            </w:rPr>
            <w:t>Click or tap here to enter text.</w:t>
          </w:r>
        </w:p>
      </w:docPartBody>
    </w:docPart>
    <w:docPart>
      <w:docPartPr>
        <w:name w:val="708400C2E7FA4989AA4DA5683B5F98B4"/>
        <w:category>
          <w:name w:val="General"/>
          <w:gallery w:val="placeholder"/>
        </w:category>
        <w:types>
          <w:type w:val="bbPlcHdr"/>
        </w:types>
        <w:behaviors>
          <w:behavior w:val="content"/>
        </w:behaviors>
        <w:guid w:val="{04C8F92A-DFE6-4BC1-A946-F8F7E54F30C9}"/>
      </w:docPartPr>
      <w:docPartBody>
        <w:p w:rsidR="00ED1CFA" w:rsidRDefault="00B05F8B" w:rsidP="00DE703A">
          <w:pPr>
            <w:pStyle w:val="708400C2E7FA4989AA4DA5683B5F98B4"/>
          </w:pPr>
          <w:r w:rsidRPr="0081500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metr415 Blk BT">
    <w:panose1 w:val="020B0802020204020303"/>
    <w:charset w:val="00"/>
    <w:family w:val="swiss"/>
    <w:pitch w:val="variable"/>
    <w:sig w:usb0="800000AF" w:usb1="1000204A" w:usb2="00000000" w:usb3="00000000" w:csb0="00000011" w:csb1="00000000"/>
  </w:font>
  <w:font w:name="Geo">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03A"/>
    <w:rsid w:val="006008B1"/>
    <w:rsid w:val="00831726"/>
    <w:rsid w:val="009F5BF7"/>
    <w:rsid w:val="00B05F8B"/>
    <w:rsid w:val="00B63190"/>
    <w:rsid w:val="00DB1AFC"/>
    <w:rsid w:val="00DE703A"/>
    <w:rsid w:val="00ED1CF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B05F8B"/>
    <w:rPr>
      <w:color w:val="808080"/>
    </w:rPr>
  </w:style>
  <w:style w:type="paragraph" w:customStyle="1" w:styleId="D71CF0D2E24A4B9FADB5EB73DA3D467C">
    <w:name w:val="D71CF0D2E24A4B9FADB5EB73DA3D467C"/>
    <w:rsid w:val="00DE703A"/>
  </w:style>
  <w:style w:type="paragraph" w:customStyle="1" w:styleId="349A15EBB5F440CF8F5008C0BBAE3E9C">
    <w:name w:val="349A15EBB5F440CF8F5008C0BBAE3E9C"/>
    <w:rsid w:val="00DE703A"/>
  </w:style>
  <w:style w:type="paragraph" w:customStyle="1" w:styleId="708400C2E7FA4989AA4DA5683B5F98B4">
    <w:name w:val="708400C2E7FA4989AA4DA5683B5F98B4"/>
    <w:rsid w:val="00DE703A"/>
  </w:style>
  <w:style w:type="paragraph" w:customStyle="1" w:styleId="390117E8AB174FAA8010A19D426BDF2D">
    <w:name w:val="390117E8AB174FAA8010A19D426BDF2D"/>
    <w:rsid w:val="00B05F8B"/>
    <w:pPr>
      <w:spacing w:line="259" w:lineRule="auto"/>
    </w:pPr>
    <w:rPr>
      <w:kern w:val="0"/>
      <w:sz w:val="22"/>
      <w:szCs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2D59867-7AC4-4C26-803E-D3F0BDA8988A}">
  <we:reference id="wa104382081" version="1.55.1.0" store="en-001" storeType="omex"/>
  <we:alternateReferences>
    <we:reference id="wa104382081" version="1.55.1.0" store="en-001" storeType="omex"/>
  </we:alternateReferences>
  <we:properties>
    <we:property name="MENDELEY_BIBLIOGRAPHY_IS_DIRTY" value="true"/>
    <we:property name="MENDELEY_BIBLIOGRAPHY_LAST_MODIFIED" value="1774757421163"/>
    <we:property name="MENDELEY_CITATIONS" value="[{&quot;citationID&quot;:&quot;MENDELEY_CITATION_314539f7-2e51-43d1-8e14-9616d674d9f6&quot;,&quot;properties&quot;:{&quot;noteIndex&quot;:0},&quot;isEdited&quot;:false,&quot;manualOverride&quot;:{&quot;isManuallyOverridden&quot;:false,&quot;citeprocText&quot;:&quot;(Amoah et al., 2023; Dhar, 2015; Eppang et al., 2024)&quot;,&quot;manualOverrideText&quot;:&quot;&quot;},&quot;citationTag&quot;:&quot;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&quot;,&quot;citationItems&quot;:[{&quot;id&quot;:&quot;2719b153-0bcc-3442-9309-d8cf99673cfe&quot;,&quot;itemData&quot;:{&quot;type&quot;:&quot;article-journal&quot;,&quot;id&quot;:&quot;2719b153-0bcc-3442-9309-d8cf99673cfe&quot;,&quot;title&quot;:&quot;Model of resilience strategies of small and medium-sized tourism enterprises post pandemic crises in marine-based destination&quot;,&quot;author&quot;:[{&quot;family&quot;:&quot;Eppang&quot;,&quot;given&quot;:&quot;Buntu Marannu&quot;,&quot;parse-names&quot;:false,&quot;dropping-particle&quot;:&quot;&quot;,&quot;non-dropping-particle&quot;:&quot;&quot;},{&quot;family&quot;:&quot;Widjaja&quot;,&quot;given&quot;:&quot;Herry Rachmat&quot;,&quot;parse-names&quot;:false,&quot;dropping-particle&quot;:&quot;&quot;,&quot;non-dropping-particle&quot;:&quot;&quot;},{&quot;family&quot;:&quot;Arifin&quot;,&quot;given&quot;:&quot;Muhammad&quot;,&quot;parse-names&quot;:false,&quot;dropping-particle&quot;:&quot;&quot;,&quot;non-dropping-particle&quot;:&quot;&quot;},{&quot;family&quot;:&quot;Azinuddin&quot;,&quot;given&quot;:&quot;Muaz&quot;,&quot;parse-names&quot;:false,&quot;dropping-particle&quot;:&quot;&quot;,&quot;non-dropping-particle&quot;:&quot;&quot;},{&quot;family&quot;:&quot;Salim&quot;,&quot;given&quot;:&quot;Muhammad Arfin Muhammad&quot;,&quot;parse-names&quot;:false,&quot;dropping-particle&quot;:&quot;&quot;,&quot;non-dropping-particle&quot;:&quot;&quot;},{&quot;family&quot;:&quot;Islahuddin&quot;,&quot;given&quot;:&quot;Islahuddin&quot;,&quot;parse-names&quot;:false,&quot;dropping-particle&quot;:&quot;&quot;,&quot;non-dropping-particle&quot;:&quot;&quot;}],&quot;container-title&quot;:&quot;Journal of Applied Sciences in Travel and Hospitality&quot;,&quot;DOI&quot;:&quot;10.31940/jasth.v7i2.105-126&quot;,&quot;issued&quot;:{&quot;date-parts&quot;:[[2024]]},&quot;page&quot;:&quot;105-126&quot;,&quot;abstract&quot;:&quot;This study investigates the resilience strategies employed by small and medium-sized tourism enterprises (SMTEs) in Tanjung Bira, a marine-based destination in South Sulawesi, Indonesia, to cope with the impact of the COVID-19 pandemic. Duchek's Model of resilience, which conceptualizes resilience as a meta-capability composed of three stages (anticipation, coping, and adaptation), is used as a key framework. An exploratory qualitative approach was employed, involving in-depth semi-structured interviews with seven informants representing various tourism stakeholders. Thematic analysis revealed several main strategies for SMTE resilience: collaboration with stakeholders, government intervention, implementation of digital marketing, strengthening SMTEs legality, and strengthening/diversification of SMTE products. Mapping these strategies onto Duchek's Model, the anticipation stage included strategic planning, risk assessment, and building dynamic capabilities; the coping stage consisted of immediate financial measures and policy support; and the adaptation stage involved diversification, technology and innovation adoption, and collaboration and networking. A key implication is that destination management organizations should create innovative products and leverage online platforms for marketing to increase visitor arrivals and boost SMTE product sales. The findings contribute to understanding SMTE resilience in the context of a marine-based destination in Eastern Indonesia and provide insights for policymakers and practitioners to support SMTE recovery and long-term sustainability post-pandemic.&quot;,&quot;issue&quot;:&quot;2&quot;,&quot;volume&quot;:&quot;7&quot;,&quot;container-title-short&quot;:&quot;&quot;},&quot;isTemporary&quot;:false},{&quot;id&quot;:&quot;76205e81-162f-37cb-a49d-8487fb7dd85f&quot;,&quot;itemData&quot;:{&quot;type&quot;:&quot;article-journal&quot;,&quot;id&quot;:&quot;76205e81-162f-37cb-a49d-8487fb7dd85f&quot;,&quot;title&quot;:&quot;Driving factors to competitive sustainability of SMEs in the tourism sector: An introspective analysis&quot;,&quot;author&quot;:[{&quot;family&quot;:&quot;Amoah&quot;,&quot;given&quot;:&quot;John&quot;,&quot;parse-names&quot;:false,&quot;dropping-particle&quot;:&quot;&quot;,&quot;non-dropping-particle&quot;:&quot;&quot;},{&quot;family&quot;:&quot;Bankuoru Egala&quot;,&quot;given&quot;:&quot;Sulemana&quot;,&quot;parse-names&quot;:false,&quot;dropping-particle&quot;:&quot;&quot;,&quot;non-dropping-particle&quot;:&quot;&quot;},{&quot;family&quot;:&quot;Keelson&quot;,&quot;given&quot;:&quot;Solomon&quot;,&quot;parse-names&quot;:false,&quot;dropping-particle&quot;:&quot;&quot;,&quot;non-dropping-particle&quot;:&quot;&quot;},{&quot;family&quot;:&quot;Bruce&quot;,&quot;given&quot;:&quot;Emmanuel&quot;,&quot;parse-names&quot;:false,&quot;dropping-particle&quot;:&quot;&quot;,&quot;non-dropping-particle&quot;:&quot;&quot;},{&quot;family&quot;:&quot;Dziwornu&quot;,&quot;given&quot;:&quot;Raymond&quot;,&quot;parse-names&quot;:false,&quot;dropping-particle&quot;:&quot;&quot;,&quot;non-dropping-particle&quot;:&quot;&quot;},{&quot;family&quot;:&quot;Agyemang Duah&quot;,&quot;given&quot;:&quot;Frank&quot;,&quot;parse-names&quot;:false,&quot;dropping-particle&quot;:&quot;&quot;,&quot;non-dropping-particle&quot;:&quot;&quot;}],&quot;container-title&quot;:&quot;Cogent Business and Management&quot;,&quot;DOI&quot;:&quot;10.1080/23311975.2022.2163796&quot;,&quot;ISSN&quot;:&quot;23311975&quot;,&quot;URL&quot;:&quot;https://doi.org/10.1080/23311975.2022.2163796&quot;,&quot;issued&quot;:{&quot;date-parts&quot;:[[2023]]},&quot;abstract&quot;:&quot;The services sector continues to play a major role in the transformation of economies. For instance, the tourism sub-sector, which is a key segment of the service sector has become one of the major contributors to economic transformation in developing economies. Given this prospect, stern competition has been created among tourism firms across the globe. However, the tourism sectors in most developing countries continue to grapple with competitive pressure challenging their competitive sustainability. Drawing on the theory of change, the purpose of this paper is to investigate factors that drive the competitive sustainability of small and medium enterprises in the tourism sector in Ghana. Data was collected from 310 SMEs in the tourism sector through the administration of a structured questionnaire and analyzed using Partial Least Square Structural Equation Modelling. The results show that price sensitivity, site maintenance, and entrepreneurial competency have a positive and significant effect on the competitive sustainability of small and medium enterprises in the tourism sector. By implications, the paper provides managers of tourism facilities with an encompassing mechanism aimed at improving tourism sites, enhancing the entrepreneurial competencies of staff, and adopting pricing strategies to enhance the competitive sustainability of the tourism sector from a developing country’s perspective. The study advances theories on tourism competitive sustainability.&quot;,&quot;publisher&quot;:&quot;Cogent&quot;,&quot;issue&quot;:&quot;1&quot;,&quot;volume&quot;:&quot;10&quot;,&quot;container-title-short&quot;:&quot;&quot;},&quot;isTemporary&quot;:false},{&quot;id&quot;:&quot;3fc6bd36-095b-3a03-89f3-10d54de3f605&quot;,&quot;itemData&quot;:{&quot;type&quot;:&quot;article-journal&quot;,&quot;id&quot;:&quot;3fc6bd36-095b-3a03-89f3-10d54de3f605&quot;,&quot;title&quot;:&quot;Service quality and the training of employees: The mediating role of organizational commitment&quot;,&quot;author&quot;:[{&quot;family&quot;:&quot;Dhar&quot;,&quot;given&quot;:&quot;Rajib Lochan&quot;,&quot;parse-names&quot;:false,&quot;dropping-particle&quot;:&quot;&quot;,&quot;non-dropping-particle&quot;:&quot;&quot;}],&quot;container-title&quot;:&quot;Tourism Management&quot;,&quot;container-title-short&quot;:&quot;Tour. Manag.&quot;,&quot;DOI&quot;:&quot;https://doi.org/10.1016/j.tourman.2014.08.001&quot;,&quot;ISSN&quot;:&quot;0261-5177&quot;,&quot;URL&quot;:&quot;https://www.sciencedirect.com/science/article/pii/S0261517714001538&quot;,&quot;issued&quot;:{&quot;date-parts&quot;:[[2015]]},&quot;page&quot;:&quot;419-430&quot;,&quot;abstract&quot;:&quot;This study examined the attitudes of employees working in Indian hotels catering to tourists. It analyzed their perception of training opportunities and the impact of such training on the service provided to guests. An integrated model was developed highlighting the relationship between perceived accessibility to training, perceived support for training, perceived benefits from training, and the implications of training on service quality mediated through organizational commitment. Using a sample of 494 employees, structural equation modeling was conducted to establish this relationship by analyzing the responses of employees working in small and medium size tourist hotels operating in Uttarakhand, India. The findings of the study reveal a strong relationship between employee training and the quality of services offered by employees in tourist hotels. The study discusses the implications of the presented findings and suggests potential practical applications.&quot;,&quot;volume&quot;:&quot;46&quot;},&quot;isTemporary&quot;:false}]},{&quot;citationID&quot;:&quot;MENDELEY_CITATION_8e7b4c54-8e59-4668-b960-e60d7540e75f&quot;,&quot;properties&quot;:{&quot;noteIndex&quot;:0},&quot;isEdited&quot;:false,&quot;manualOverride&quot;:{&quot;isManuallyOverridden&quot;:false,&quot;citeprocText&quot;:&quot;(Ho et al., 2016; Rodríguez &amp;#38; Gregory, 2005; Tanemura &amp;#38; Nagaishi, 2022)&quot;,&quot;manualOverrideText&quot;:&quot;&quot;},&quot;citationTag&quot;:&quot;MENDELEY_CITATION_v3_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&quot;,&quot;citationItems&quot;:[{&quot;id&quot;:&quot;01dfd1e9-1b78-3c4c-b5fc-f5fabab67de1&quot;,&quot;itemData&quot;:{&quot;type&quot;:&quot;article-journal&quot;,&quot;id&quot;:&quot;01dfd1e9-1b78-3c4c-b5fc-f5fabab67de1&quot;,&quot;title&quot;:&quot;Exploration of hotel managers' training evaluation practices and perceptions utilizing Kirkpatrick's and Phillips's models&quot;,&quot;author&quot;:[{&quot;family&quot;:&quot;Ho&quot;,&quot;given&quot;:&quot;Anh D D&quot;,&quot;parse-names&quot;:false,&quot;dropping-particle&quot;:&quot;&quot;,&quot;non-dropping-particle&quot;:&quot;&quot;},{&quot;family&quot;:&quot;Arendt&quot;,&quot;given&quot;:&quot;Susan W&quot;,&quot;parse-names&quot;:false,&quot;dropping-particle&quot;:&quot;&quot;,&quot;non-dropping-particle&quot;:&quot;&quot;},{&quot;family&quot;:&quot;Zheng&quot;,&quot;given&quot;:&quot;Tianshu&quot;,&quot;parse-names&quot;:false,&quot;dropping-particle&quot;:&quot;&quot;,&quot;non-dropping-particle&quot;:&quot;&quot;},{&quot;family&quot;:&quot;Hanisch&quot;,&quot;given&quot;:&quot;Kathy A&quot;,&quot;parse-names&quot;:false,&quot;dropping-particle&quot;:&quot;&quot;,&quot;non-dropping-particle&quot;:&quot;&quot;}],&quot;container-title&quot;:&quot;Journal of Human Resources in Hospitality &amp; Tourism&quot;,&quot;DOI&quot;:&quot;10.1080/15332845.2016.1084861&quot;,&quot;ISSN&quot;:&quot;1533-2845&quot;,&quot;URL&quot;:&quot;https://doi.org/10.1080/15332845.2016.1084861&quot;,&quot;issued&quot;:{&quot;date-parts&quot;:[[2016,4,2]]},&quot;page&quot;:&quot;184-208&quot;,&quot;publisher&quot;:&quot;Routledge&quot;,&quot;issue&quot;:&quot;2&quot;,&quot;volume&quot;:&quot;15&quot;,&quot;container-title-short&quot;:&quot;&quot;},&quot;isTemporary&quot;:false},{&quot;id&quot;:&quot;0055c1bb-2b0b-3862-b10d-a0e67bc4e9ee&quot;,&quot;itemData&quot;:{&quot;type&quot;:&quot;article-journal&quot;,&quot;id&quot;:&quot;0055c1bb-2b0b-3862-b10d-a0e67bc4e9ee&quot;,&quot;title&quot;:&quot;Qualitative Study of Transfer of Training of Student Employees in a Service Industry&quot;,&quot;author&quot;:[{&quot;family&quot;:&quot;Rodríguez&quot;,&quot;given&quot;:&quot; Claudia Mariana&quot;,&quot;parse-names&quot;:false,&quot;dropping-particle&quot;:&quot;&quot;,&quot;non-dropping-particle&quot;:&quot;&quot;},{&quot;family&quot;:&quot;Gregory&quot;,&quot;given&quot;:&quot; Susan&quot;,&quot;parse-names&quot;:false,&quot;dropping-particle&quot;:&quot;&quot;,&quot;non-dropping-particle&quot;:&quot;&quot;}],&quot;container-title&quot;:&quot;Journal of Hospitality &amp; Tourism Research&quot;,&quot;DOI&quot;:&quot;10.1177/1096348004270753&quot;,&quot;ISSN&quot;:&quot;1096-3480&quot;,&quot;URL&quot;:&quot;https://doi.org/10.1177/1096348004270753&quot;,&quot;issued&quot;:{&quot;date-parts&quot;:[[2005,2,1]]},&quot;page&quot;:&quot;42-66&quot;,&quot;abstract&quot;:&quot;It is estimated that organizations spend $200 billion annually on their workforce training. The focus of this qualitative exploratory study was to use Baldwin and Ford?s transfer of training model to explore which elements in the model would be perceived as most relevant by student front-line employees for transfer of training, which requires the transfer of information from trainer to trainee. Three focus groups made up of student workers from several dining service units on a university campus were used. Data were coded and analyzed according to the transfer of training model. Results in the three groups were similar. Three categories appeared recurrently and were perceived as relevant by the participants: on the job training, social support, and training content. Participants showed positive attitudes toward training, which was perceived as necessary. A relationship between the findings and the characteristics of Generation Y is suggested.&quot;,&quot;publisher&quot;:&quot;SAGE Publications Inc&quot;,&quot;issue&quot;:&quot;1&quot;,&quot;volume&quot;:&quot;29&quot;,&quot;container-title-short&quot;:&quot;&quot;},&quot;isTemporary&quot;:false},{&quot;id&quot;:&quot;a452f822-ce5b-3d6f-bb05-7dbd5623cbe2&quot;,&quot;itemData&quot;:{&quot;type&quot;:&quot;article-journal&quot;,&quot;id&quot;:&quot;a452f822-ce5b-3d6f-bb05-7dbd5623cbe2&quot;,&quot;title&quot;:&quot;A study of the effectiveness of training programs in the tourism sector: The case of the Ishikawa Tourism Creation School, Japan&quot;,&quot;author&quot;:[{&quot;family&quot;:&quot;Tanemura&quot;,&quot;given&quot;:&quot;Satoko&quot;,&quot;parse-names&quot;:false,&quot;dropping-particle&quot;:&quot;&quot;,&quot;non-dropping-particle&quot;:&quot;&quot;},{&quot;family&quot;:&quot;Nagaishi&quot;,&quot;given&quot;:&quot;Naoko&quot;,&quot;parse-names&quot;:false,&quot;dropping-particle&quot;:&quot;&quot;,&quot;non-dropping-particle&quot;:&quot;&quot;}],&quot;container-title&quot;:&quot;Journal of Global Tourism Research&quot;,&quot;issued&quot;:{&quot;date-parts&quot;:[[2022]]},&quot;page&quot;:&quot;2022&quot;,&quot;abstract&quot;:&quot;This study aims to identify the characteristics of effective human resource training programs in the field of tourism, which are implemented in collaboration with universities and government organizations, such as the local federation. In Japan, approximately 70 % of hospitality companies are small and medium sized enterprises without large labor budgets. Therefore, the scope of on-the-job and off-the-job training implemented by each company is limited, making human resource training programs provided in collaboration with local governments and tourism education essential. In this study, we analyzed the case of the Ishikawa Tourism Creation School managed by the Ishikawa Prefecture Tourism Federation. Qualitative data was gathered via semi-structured interviews. The characteristics of an effective program are that it stimulates participants' willingness to contribute to the community, participants gain familiarity with the relationship with the government officials, participants can benefit from interaction with others and enhance their career awareness through cross-boundary learning, and they can gain knowledge about tourism and the hospitality industry through the university's tourism department. The program could be positioned as an additional education to complement human resource development training within companies and education provided by higher institutions such as universities.&quot;,&quot;issue&quot;:&quot;1&quot;,&quot;volume&quot;:&quot;7&quot;,&quot;container-title-short&quot;:&quot;&quot;},&quot;isTemporary&quot;:false}]},{&quot;citationID&quot;:&quot;MENDELEY_CITATION_87a4fe70-9638-4a60-a450-8de259e2cf36&quot;,&quot;properties&quot;:{&quot;noteIndex&quot;:0},&quot;isEdited&quot;:false,&quot;manualOverride&quot;:{&quot;isManuallyOverridden&quot;:true,&quot;citeprocText&quot;:&quot;(Alsalamah &amp;#38; Callinan, 2021; Faisal-E-Alam &amp;#38; Islam, 2025)&quot;,&quot;manualOverrideText&quot;:&quot;(Alsalamah &amp; Callinan, 2021; Faisal &amp; Islam, 2025)&quot;},&quot;citationTag&quot;:&quot;MENDELEY_CITATION_v3_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&quot;,&quot;citationItems&quot;:[{&quot;id&quot;:&quot;469f33e9-9fd0-39dd-a3c1-b8faca61203a&quot;,&quot;itemData&quot;:{&quot;type&quot;:&quot;article-journal&quot;,&quot;id&quot;:&quot;469f33e9-9fd0-39dd-a3c1-b8faca61203a&quot;,&quot;title&quot;:&quot;Exploring the hierarchical framework of the Kirkpatrick model in training evaluation from a developing country&quot;,&quot;author&quot;:[{&quot;family&quot;:&quot;Faisal-E-Alam&quot;,&quot;given&quot;:&quot;Md.&quot;,&quot;parse-names&quot;:false,&quot;dropping-particle&quot;:&quot;&quot;,&quot;non-dropping-particle&quot;:&quot;&quot;},{&quot;family&quot;:&quot;Islam&quot;,&quot;given&quot;:&quot;Abu Reza Md. Towfiqul&quot;,&quot;parse-names&quot;:false,&quot;dropping-particle&quot;:&quot;&quot;,&quot;non-dropping-particle&quot;:&quot;&quot;}],&quot;container-title&quot;:&quot;Evaluation and Program Planning&quot;,&quot;container-title-short&quot;:&quot;Eval. Program Plann.&quot;,&quot;DOI&quot;:&quot;https://doi.org/10.1016/j.evalprogplan.2025.102696&quot;,&quot;ISSN&quot;:&quot;0149-7189&quot;,&quot;URL&quot;:&quot;https://www.sciencedirect.com/science/article/pii/S0149718925001636&quot;,&quot;issued&quot;:{&quot;date-parts&quot;:[[2025]]},&quot;page&quot;:&quot;102696&quot;,&quot;abstract&quot;:&quot;Training evaluation plays a vital role in determining the effectiveness of programs to enhance employee performance and achieve organizational goals. The Kirkpatrick Model, widely used across industries, offers a structured framework for evaluating training outcomes through its four levels: Reaction, Learning, Behavior, and Results. However, there is a significant lack of empirical validation of this model in developing economies, especially in the banking sector of Bangladesh. Furthermore, the existing literature often lacks evidence of causal relationships between the levels of the Kirkpatrick model. This study aims to examine the hierarchical relationships within the Kirkpatrick Model of training evaluation in the context of private commercial banks (PCBs) in Bangladesh. Using a quantitative research design and stratified random sampling, we tested three hypotheses concerning the interconnections between the four levels of the model. Data was collected through a questionnaire assessing trainee reactions, learning outcomes, behavioral changes, and results. The collected data was analyzed using Partial Least Squares (PLS)-based Structural Equation Modeling (SEM). The findings reveal that positive trainee reactions significantly influence learning outcomes, leading to behavioral changes in the workplace. These behavior changes ultimately lead to improved individual and organizational performance. The study highlights the importance of a hierarchical approach in training evaluation and validates the applicability of the Kirkpatrick Model in the banking sector. Overall, the findings provide both theoretical and practical implications, reinforcing the hierarchical relationships in the Kirkpatrick Training Evaluation Model and ensuring training effectiveness.&quot;,&quot;volume&quot;:&quot;113&quot;},&quot;isTemporary&quot;:false},{&quot;id&quot;:&quot;3eb487f4-2fc0-3f5f-a2dc-04e2698de6c4&quot;,&quot;itemData&quot;:{&quot;type&quot;:&quot;article-journal&quot;,&quot;id&quot;:&quot;3eb487f4-2fc0-3f5f-a2dc-04e2698de6c4&quot;,&quot;title&quot;:&quot;Adaptation of Kirkpatrick’s four-level model of training criteria to evaluate training programmes for head teachers&quot;,&quot;author&quot;:[{&quot;family&quot;:&quot;Alsalamah&quot;,&quot;given&quot;:&quot;Aljawharah&quot;,&quot;parse-names&quot;:false,&quot;dropping-particle&quot;:&quot;&quot;,&quot;non-dropping-particle&quot;:&quot;&quot;},{&quot;family&quot;:&quot;Callinan&quot;,&quot;given&quot;:&quot;Carol&quot;,&quot;parse-names&quot;:false,&quot;dropping-particle&quot;:&quot;&quot;,&quot;non-dropping-particle&quot;:&quot;&quot;}],&quot;container-title&quot;:&quot;Education Sciences&quot;,&quot;container-title-short&quot;:&quot;Educ. Sci. (Basel).&quot;,&quot;DOI&quot;:&quot;10.3390/educsci11030116&quot;,&quot;ISSN&quot;:&quot;22277102&quot;,&quot;issued&quot;:{&quot;date-parts&quot;:[[2021]]},&quot;abstract&quot;:&quot;Training programmes are evaluated to verify their effectiveness, assess their ability to achieve their goals and identify the areas that require improvement. Therefore, the target of eval-uators is to develop an appropriate framework for evaluating training programmes. This study adapted Kirkpatrick’s four-level model of training criteria published in 1959 to evaluate training programmes for head teachers according to their own perceptions and those of their supervisors. The adapted model may help evaluators to conceptualise the assessment of learning outcomes of training programmes with metrics and instruments. The model also helps to determine the strengths and weaknesses of the training process. The adaptation includes concrete metrics and instruments for each of the four levels in the model: reaction criteria, learning criteria, behaviour criteria and results criteria. The adapted model was applied to evaluate 12 training programmes for female head teachers in Saudi Arabia. The study sample comprised 250 trainee head teachers and 12 supervisors. The results indicated that the adapted Kirkpatrick evaluation model was very effective in evaluating educational training for head teachers.&quot;,&quot;issue&quot;:&quot;3&quot;,&quot;volume&quot;:&quot;11&quot;},&quot;isTemporary&quot;:false}]},{&quot;citationID&quot;:&quot;MENDELEY_CITATION_ee9c04b5-7645-421a-a990-597a0c764a07&quot;,&quot;properties&quot;:{&quot;noteIndex&quot;:0},&quot;isEdited&quot;:false,&quot;manualOverride&quot;:{&quot;isManuallyOverridden&quot;:false,&quot;citeprocText&quot;:&quot;(Wikström et al., 2023)&quot;,&quot;manualOverrideText&quot;:&quot;&quot;},&quot;citationTag&quot;:&quot;MENDELEY_CITATION_v3_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&quot;,&quot;citationItems&quot;:[{&quot;id&quot;:&quot;775d6505-e96d-3cb6-b826-eba14ffcc745&quot;,&quot;itemData&quot;:{&quot;type&quot;:&quot;article-journal&quot;,&quot;id&quot;:&quot;775d6505-e96d-3cb6-b826-eba14ffcc745&quot;,&quot;title&quot;:&quot;Mentoring programmes – building capacity for learning and retaining workers in the workplace&quot;,&quot;author&quot;:[{&quot;family&quot;:&quot;Wikström&quot;,&quot;given&quot;:&quot;Ewa&quot;,&quot;parse-names&quot;:false,&quot;dropping-particle&quot;:&quot;&quot;,&quot;non-dropping-particle&quot;:&quot;&quot;},{&quot;family&quot;:&quot;Arman&quot;,&quot;given&quot;:&quot;Rebecka&quot;,&quot;parse-names&quot;:false,&quot;dropping-particle&quot;:&quot;&quot;,&quot;non-dropping-particle&quot;:&quot;&quot;},{&quot;family&quot;:&quot;Dellve&quot;,&quot;given&quot;:&quot;Lotta&quot;,&quot;parse-names&quot;:false,&quot;dropping-particle&quot;:&quot;&quot;,&quot;non-dropping-particle&quot;:&quot;&quot;},{&quot;family&quot;:&quot;Gillberg&quot;,&quot;given&quot;:&quot;Nanna&quot;,&quot;parse-names&quot;:false,&quot;dropping-particle&quot;:&quot;&quot;,&quot;non-dropping-particle&quot;:&quot;&quot;}],&quot;container-title&quot;:&quot;Journal of Workplace Learning&quot;,&quot;DOI&quot;:&quot;10.1108/JWL-01-2023-0003&quot;,&quot;ISBN&quot;:&quot;0120230003&quot;,&quot;ISSN&quot;:&quot;13665626&quot;,&quot;issued&quot;:{&quot;date-parts&quot;:[[2023]]},&quot;page&quot;:&quot;732-751&quot;,&quot;abstract&quot;:&quot;Purpose: The purpose of the paper is to contribute to an understanding of the relational work carried out in mentoring programmes and the implications for learning capabilities in future practices. Design/methodology/approach: This study is based on field research of a mentoring programme bringing together senior and newly graduated workers in a large Swedish health care organisation. In total, 54 qualitative interviews with mentors, mentees, HR, managers and union representatives are included. Findings: The findings point to the role of trust and a psychological sense of community in the socialisation work that goes on in relationships between the mentor and the mentee. This in turn leads to increased social capital in the form of learning and retaining workers. The conditions for being vulnerable and asking questions, as well as daring to be independent, are an essential and decisive part of constructing bonding within the professional group and bridging out to other professions and parts of the organisation. Practical implications: The practical contribution from this study is the workplace conditions that are central to organising mentoring programmes, with implications for learning capabilities in future practices. Originality/value: With its theoretical focus on social capital, the study shows the importance of relationships for learning and retaining both newly graduated and experienced employees in a context of high employee turnover. It is central to achieving strong and mutually beneficial relationships through continual and trustful interaction between actors. By using the concepts of social capital, socialisation agents and psychological sense of community, this study contributes to an understanding of mentoring and workplace learning.&quot;,&quot;issue&quot;:&quot;8&quot;,&quot;volume&quot;:&quot;35&quot;,&quot;container-title-short&quot;:&quot;&quot;},&quot;isTemporary&quot;:false}]},{&quot;citationID&quot;:&quot;MENDELEY_CITATION_9c48d109-281a-4f0b-9c84-e809282c927e&quot;,&quot;properties&quot;:{&quot;noteIndex&quot;:0},&quot;isEdited&quot;:false,&quot;manualOverride&quot;:{&quot;isManuallyOverridden&quot;:false,&quot;citeprocText&quot;:&quot;(Alfian et al., 2022; Caraka et al., 2023; Kanom, 2015; Widjaja et al., 2023)&quot;,&quot;manualOverrideText&quot;:&quot;&quot;},&quot;citationTag&quot;:&quot;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&quot;,&quot;citationItems&quot;:[{&quot;id&quot;:&quot;6c5dc796-f63d-327c-80d0-117047faf400&quot;,&quot;itemData&quot;:{&quot;type&quot;:&quot;article-journal&quot;,&quot;id&quot;:&quot;6c5dc796-f63d-327c-80d0-117047faf400&quot;,&quot;title&quot;:&quot;Mandalika Special Economic Zone and the Potential for Regional Economic Development of Central Lombok Regency through Investment&quot;,&quot;author&quot;:[{&quot;family&quot;:&quot;Alfian&quot;,&quot;given&quot;:&quot;Alfian Eikman&quot;,&quot;parse-names&quot;:false,&quot;dropping-particle&quot;:&quot;&quot;,&quot;non-dropping-particle&quot;:&quot;&quot;},{&quot;family&quot;:&quot;Hadi&quot;,&quot;given&quot;:&quot;Sulhan&quot;,&quot;parse-names&quot;:false,&quot;dropping-particle&quot;:&quot;&quot;,&quot;non-dropping-particle&quot;:&quot;&quot;},{&quot;family&quot;:&quot;Ismail&quot;,&quot;given&quot;:&quot;&quot;,&quot;parse-names&quot;:false,&quot;dropping-particle&quot;:&quot;&quot;,&quot;non-dropping-particle&quot;:&quot;&quot;}],&quot;container-title&quot;:&quot;Jurnal Economic Resource&quot;,&quot;DOI&quot;:&quot;10.57178/jer.v5i2.371&quot;,&quot;issued&quot;:{&quot;date-parts&quot;:[[2022]]},&quot;page&quot;:&quot;321-333&quot;,&quot;abstract&quot;:&quot;This study attempts to explain the various economic potentials created as a result of the domino effect of the development and development of the Mandalika Special Economic Zone in Central Lombok Regency, West Nusa Tenggara Province by mapping regional potentials whose development can be accelerated with capital assistance from foreign and domestic investment processes ( PMA and/or PMDN), which consists of data on several potential sectors that can be developed and built by expecting funding sources from investment or investment from outside. This study uses a qualitative approach with data collection methods using literature studies and interviews. The results show that there are several sectors that have the potential to support the development of the Mandalika Special Economic Zone in Central Lombok Regency. These sectors include tourism, agriculture, marine and fishing, where the agricultural, marine, and fishing sectors are the buffers of the tourism sector in the supply of raw materials for the food and beverage industry. The findings also explain that, although developing quite rapidly, tourism-supporting industries such as accommodation and F&amp;B have not been able to meet the needs of the tourism sector in Central Lombok, so the potential for economic development is still very wide open. Therefore, the right strategy by utilizing economic network incentives from the existence of SEZs in attracting investment can be relied upon to accelerate the development of existing economic potential.&quot;,&quot;issue&quot;:&quot;2&quot;,&quot;volume&quot;:&quot;5&quot;,&quot;container-title-short&quot;:&quot;&quot;},&quot;isTemporary&quot;:false},{&quot;id&quot;:&quot;7a87c0c7-fec6-30a0-8b56-7cd9d86761ad&quot;,&quot;itemData&quot;:{&quot;type&quot;:&quot;article-journal&quot;,&quot;id&quot;:&quot;7a87c0c7-fec6-30a0-8b56-7cd9d86761ad&quot;,&quot;title&quot;:&quot;The Economic Impact Of Tourism Development in Mandalika Lombok Indonesia&quot;,&quot;author&quot;:[{&quot;family&quot;:&quot;Widjaja&quot;,&quot;given&quot;:&quot;Herry Rachmat&quot;,&quot;parse-names&quot;:false,&quot;dropping-particle&quot;:&quot;&quot;,&quot;non-dropping-particle&quot;:&quot;&quot;},{&quot;family&quot;:&quot;Rizkiyah&quot;,&quot;given&quot;:&quot;Putri&quot;,&quot;parse-names&quot;:false,&quot;dropping-particle&quot;:&quot;&quot;,&quot;non-dropping-particle&quot;:&quot;&quot;},{&quot;family&quot;:&quot;Royanow&quot;,&quot;given&quot;:&quot;Fahlevi&quot;,&quot;parse-names&quot;:false,&quot;dropping-particle&quot;:&quot;&quot;,&quot;non-dropping-particle&quot;:&quot;&quot;},{&quot;family&quot;:&quot;Lemy&quot;,&quot;given&quot;:&quot;Mutiara&quot;,&quot;parse-names&quot;:false,&quot;dropping-particle&quot;:&quot;&quot;,&quot;non-dropping-particle&quot;:&quot;&quot;},{&quot;family&quot;:&quot;Brian&quot;,&quot;given&quot;:&quot;Reagan&quot;,&quot;parse-names&quot;:false,&quot;dropping-particle&quot;:&quot;&quot;,&quot;non-dropping-particle&quot;:&quot;&quot;}],&quot;container-title&quot;:&quot;Journal of Law and Sustainable Development&quot;,&quot;DOI&quot;:&quot;https://doi.org/10.55908/sdgs.v11i9.994&quot;,&quot;issued&quot;:{&quot;date-parts&quot;:[[2023]]},&quot;page&quot;:&quot;1-19&quot;,&quot;issue&quot;:&quot;09&quot;,&quot;volume&quot;:&quot;11&quot;},&quot;isTemporary&quot;:false},{&quot;id&quot;:&quot;64fe78f7-c804-3300-a5c0-cc420ce69296&quot;,&quot;itemData&quot;:{&quot;type&quot;:&quot;article-journal&quot;,&quot;id&quot;:&quot;64fe78f7-c804-3300-a5c0-cc420ce69296&quot;,&quot;title&quot;:&quot;Connectivity, sport events, and tourism development of Mandalika’s special economic zone: A perspective from big data cognitive analytics&quot;,&quot;author&quot;:[{&quot;family&quot;:&quot;Caraka&quot;,&quot;given&quot;:&quot;Rezzy Eko&quot;,&quot;parse-names&quot;:false,&quot;dropping-particle&quot;:&quot;&quot;,&quot;non-dropping-particle&quot;:&quot;&quot;},{&quot;family&quot;:&quot;Wardhana&quot;,&quot;given&quot;:&quot;Irwanda Wisnu&quot;,&quot;parse-names&quot;:false,&quot;dropping-particle&quot;:&quot;&quot;,&quot;non-dropping-particle&quot;:&quot;&quot;},{&quot;family&quot;:&quot;Kim&quot;,&quot;given&quot;:&quot;Yunho&quot;,&quot;parse-names&quot;:false,&quot;dropping-particle&quot;:&quot;&quot;,&quot;non-dropping-particle&quot;:&quot;&quot;},{&quot;family&quot;:&quot;Sakti&quot;,&quot;given&quot;:&quot;Anjar Dimara&quot;,&quot;parse-names&quot;:false,&quot;dropping-particle&quot;:&quot;&quot;,&quot;non-dropping-particle&quot;:&quot;&quot;},{&quot;family&quot;:&quot;Gio&quot;,&quot;given&quot;:&quot;Prana Ugiana&quot;,&quot;parse-names&quot;:false,&quot;dropping-particle&quot;:&quot;&quot;,&quot;non-dropping-particle&quot;:&quot;&quot;},{&quot;family&quot;:&quot;Noh&quot;,&quot;given&quot;:&quot;Maengseok&quot;,&quot;parse-names&quot;:false,&quot;dropping-particle&quot;:&quot;&quot;,&quot;non-dropping-particle&quot;:&quot;&quot;},{&quot;family&quot;:&quot;Pardamean&quot;,&quot;given&quot;:&quot;Bens&quot;,&quot;parse-names&quot;:false,&quot;dropping-particle&quot;:&quot;&quot;,&quot;non-dropping-particle&quot;:&quot;&quot;}],&quot;container-title&quot;:&quot;Cogent Business and Management&quot;,&quot;DOI&quot;:&quot;10.1080/23311975.2023.2183565&quot;,&quot;ISSN&quot;:&quot;23311975&quot;,&quot;URL&quot;:&quot;https://doi.org/10.1080/23311975.2023.2183565&quot;,&quot;issued&quot;:{&quot;date-parts&quot;:[[2023]]},&quot;abstract&quot;:&quot;This study examines the interplay of air connectivity, sports events, infrastructures, and fiscal support during the period 2017 and 2022 in a designated area called Special Economic Zone in Mandalika, Lombok Island, West Nusa Tenggara to boost tourism development in Indonesia by utilizing big data cognitive analytics. We examine the tourism development impacted by the MotoGP event in 2022 and air connectivity. Further, this paper discusses the network connectivity of flights at Zainuddin Abdul Madjid International Airport during the COVID-19 Pandemic and the new normal. We found that the combination of an international airport, globally recognized sports events, and government support has directly and positively improved the tourism industry’s performance in the country and especially within Lombok Island. We suggest policy recommendations to support economic activities in Mandalika’s Special Economic Zone and its hinterland to maintain business sustainability and utilize the existing infrastructures at the optimum level. Lessons learned from the Indonesian experience could help other developing countries that are devising policies and strategies to develop the tourism industry by employing proper instruments such as infrastructure, events, and fiscal policies.&quot;,&quot;publisher&quot;:&quot;Cogent&quot;,&quot;issue&quot;:&quot;1&quot;,&quot;volume&quot;:&quot;10&quot;,&quot;container-title-short&quot;:&quot;&quot;},&quot;isTemporary&quot;:false},{&quot;id&quot;:&quot;8aadf0fd-a211-35fe-8a53-0a2702573941&quot;,&quot;itemData&quot;:{&quot;type&quot;:&quot;article-journal&quot;,&quot;id&quot;:&quot;8aadf0fd-a211-35fe-8a53-0a2702573941&quot;,&quot;title&quot;:&quot;Strategi Pengembangan Kuta Lombok Sebagai Destinasi Pariwisata Berkelanjutan&quot;,&quot;author&quot;:[{&quot;family&quot;:&quot;Kanom&quot;,&quot;given&quot;:&quot;&quot;,&quot;parse-names&quot;:false,&quot;dropping-particle&quot;:&quot;&quot;,&quot;non-dropping-particle&quot;:&quot;&quot;}],&quot;container-title&quot;:&quot;Jurnal Master Pariwisata (JUMPA)&quot;,&quot;DOI&quot;:&quot;10.24843/jumpa.2015.v01.i02.p03&quot;,&quot;ISSN&quot;:&quot;2406-9116&quot;,&quot;issued&quot;:{&quot;date-parts&quot;:[[2015]]},&quot;page&quot;:&quot;25-42&quot;,&quot;abstract&quot;:&quot;This article is about development strategy of Kuta Lombok as a sustainable tourism destination. It aims were identifying and analyzing potencies, obstacles, and formulating the strategies and programs.This article applied theory of planning and theory of tourism area life cycle. The data were collected by observation, in–depth interviews, and documentation studies. Data was analyzed by descriptive qualitative method, and analysis of matrix SWOT: Strengths, Weakness, Opportunities, and Threats.Potency of Kuta Lombok as a sustainable tourism destinations are consists of nature and social culture potency. The factors are that become obstacles as such the lack of adequate human resources, management of tourism destination, lack of public awareness in preventing the cleanliness and environmental sustainability, also security and comfort. The article proposes that two grand strategies include strategy of market penetration and development of tourism product.&quot;,&quot;volume&quot;:&quot;1&quot;,&quot;container-title-short&quot;:&quot;&quot;},&quot;isTemporary&quot;:false}]},{&quot;citationID&quot;:&quot;MENDELEY_CITATION_28f783e2-3a06-40c9-84fa-0bbde4e26afc&quot;,&quot;properties&quot;:{&quot;noteIndex&quot;:0},&quot;isEdited&quot;:false,&quot;manualOverride&quot;:{&quot;isManuallyOverridden&quot;:false,&quot;citeprocText&quot;:&quot;(Akbar et al., 2024; Dewi &amp;#38; Toha, 2021; Hamid et al., 2025; Koynja, 2023; Mahsar, 2019; Marswandi et al., 2024; Nurfaizah et al., 2023)&quot;,&quot;manualOverrideText&quot;:&quot;&quot;},&quot;citationTag&quot;:&quot;MENDELEY_CITATION_v3_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&quot;,&quot;citationItems&quot;:[{&quot;id&quot;:&quot;5645c634-e4d3-3ece-aaa8-ac2c0dc239ba&quot;,&quot;itemData&quot;:{&quot;type&quot;:&quot;article-journal&quot;,&quot;id&quot;:&quot;5645c634-e4d3-3ece-aaa8-ac2c0dc239ba&quot;,&quot;title&quot;:&quot;Peluang Homestay Bagi Masyarakat Mandalika Lombok Tengah&quot;,&quot;author&quot;:[{&quot;family&quot;:&quot;Dewi&quot;,&quot;given&quot;:&quot;Novi Yanti Sandra&quot;,&quot;parse-names&quot;:false,&quot;dropping-particle&quot;:&quot;&quot;,&quot;non-dropping-particle&quot;:&quot;&quot;},{&quot;family&quot;:&quot;Toha&quot;,&quot;given&quot;:&quot;Mohamda&quot;,&quot;parse-names&quot;:false,&quot;dropping-particle&quot;:&quot;&quot;,&quot;non-dropping-particle&quot;:&quot;&quot;}],&quot;DOI&quot;:&quot;https://doi.org/10.31764/jseit.v1i1&quot;,&quot;issued&quot;:{&quot;date-parts&quot;:[[2021]]},&quot;page&quot;:&quot;8-11&quot;,&quot;issue&quot;:&quot;3&quot;,&quot;volume&quot;:&quot;1&quot;,&quot;container-title-short&quot;:&quot;&quot;},&quot;isTemporary&quot;:false},{&quot;id&quot;:&quot;518fbc1c-c1aa-36e5-bb1b-196d583801b2&quot;,&quot;itemData&quot;:{&quot;type&quot;:&quot;article-journal&quot;,&quot;id&quot;:&quot;518fbc1c-c1aa-36e5-bb1b-196d583801b2&quot;,&quot;title&quot;:&quot;Strategi Pemasaran Hotel &amp; Homestay Pada Masa Transisi Covid-19 Di Kek-Mandalika Lombok&quot;,&quot;author&quot;:[{&quot;family&quot;:&quot;Mahsar&quot;,&quot;given&quot;:&quot;Lalu&quot;,&quot;parse-names&quot;:false,&quot;dropping-particle&quot;:&quot;&quot;,&quot;non-dropping-particle&quot;:&quot;&quot;}],&quot;container-title&quot;:&quot;Jurnal Ilmiah Hospitality&quot;,&quot;DOI&quot;:&quot;https://doi.org/10.47492/jih.v10i1.907&quot;,&quot;ISBN&quot;:&quot;9781119130536&quot;,&quot;issued&quot;:{&quot;date-parts&quot;:[[2019]]},&quot;abstract&quot;:&quo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quot;,&quot;issue&quot;:&quot;1&quot;,&quot;volume&quot;:&quot;10&quot;},&quot;isTemporary&quot;:false},{&quot;id&quot;:&quot;75a6bc0b-ef13-36c6-ba0f-0186eebedd1d&quot;,&quot;itemData&quot;:{&quot;type&quot;:&quot;article-journal&quot;,&quot;id&quot;:&quot;75a6bc0b-ef13-36c6-ba0f-0186eebedd1d&quot;,&quot;title&quot;:&quot;Pengaruh Kualitas Sumber Daya Manusia Terhadap Kepuasan Wisatawan: Studi Kuantitatif di KEK Mandalika&quot;,&quot;author&quot;:[{&quot;family&quot;:&quot;Marswandi&quot;,&quot;given&quot;:&quot;Ega Dwi Putri&quot;,&quot;parse-names&quot;:false,&quot;dropping-particle&quot;:&quot;&quot;,&quot;non-dropping-particle&quot;:&quot;&quot;},{&quot;family&quot;:&quot;Ihyani&quot;,&quot;given&quot;:&quot;Layali&quot;,&quot;parse-names&quot;:false,&quot;dropping-particle&quot;:&quot;&quot;,&quot;non-dropping-particle&quot;:&quot;&quot;},{&quot;family&quot;:&quot;Marlina&quot;,&quot;given&quot;:&quot;Febria Nurmelia&quot;,&quot;parse-names&quot;:false,&quot;dropping-particle&quot;:&quot;&quot;,&quot;non-dropping-particle&quot;:&quot;&quot;},{&quot;family&quot;:&quot;Suhaeril&quot;,&quot;given&quot;:&quot;Suhaeril&quot;,&quot;parse-names&quot;:false,&quot;dropping-particle&quot;:&quot;&quot;,&quot;non-dropping-particle&quot;:&quot;&quot;}],&quot;container-title&quot;:&quot;JSEH (Jurnal Sosial Ekonomi dan Humaniora)&quot;,&quot;DOI&quot;:&quot;10.29303/jseh.v10i4.679&quot;,&quot;ISSN&quot;:&quot;2461-0666&quot;,&quot;issued&quot;:{&quot;date-parts&quot;:[[2024]]},&quot;page&quot;:&quot;601-608&quot;,&quot;abstract&quot;:&quot;This study aims to determine the effect of the Quality of Human Resources on Tourist Satisfaction. The method used in this research. This research is quantitative which is explanatory in nature with a sample size of 35 respondents, namely employees in the Special Economic Zone area. Totaling 35 respondents, namely employees in the Special Economic Zone area of Mandalika, Central Lombok Regency, West Nusa Tenggara Province. Method data analysis method using simple linear regression test. Research results stated that the quality of human resources affects tourist satisfaction positively and significantly. This is an input for decision makers decision makers both for officials and apparatus of the Central Lombok Regency Tourism Office as well as decision makers of PT. officials and apparatus of the Central Lombok Regency Tourism Office as well as decision makers of PT Indonesia Tourism Development Corporation (ITDC) to continue to improve tourist satisfaction. Indonesia or Indonesia Tourism Development Corporation (ITDC) decision makers to continue to increase the visit of domestic and foreign tourists by continuing to improve the quality of human resources. improving the quality of human resources who have literacy in serving tourists. Thus, it can create comfort in the form of satisfaction which is reflected in the return visit of the tourists.&quot;,&quot;issue&quot;:&quot;4&quot;,&quot;volume&quot;:&quot;10&quot;},&quot;isTemporary&quot;:false},{&quot;id&quot;:&quot;616347ef-ae90-3f37-9b65-0583fb3b0bd1&quot;,&quot;itemData&quot;:{&quot;type&quot;:&quot;article-journal&quot;,&quot;id&quot;:&quot;616347ef-ae90-3f37-9b65-0583fb3b0bd1&quot;,&quot;title&quot;:&quot;Kewenangan Pemerintah Desa Dalam Membentuk Peraturan Desa Terkait Jenis Pungutan Untuk Pelaku Usaha Homestay Di Desa Kuta , Kabupaten Lombok Tengah Village Government Authority in Formulating Village Entrepreneurs in Kuta Village , Central Lombok Regency&quot;,&quot;author&quot;:[{&quot;family&quot;:&quot;Koynja&quot;,&quot;given&quot;:&quot;Johannes Johny&quot;,&quot;parse-names&quot;:false,&quot;dropping-particle&quot;:&quot;&quot;,&quot;non-dropping-particle&quot;:&quot;&quot;}],&quot;container-title&quot;:&quot;Jurnal Kompilasi Hukum Volume&quot;,&quot;DOI&quot;:&quot;https://doi.org/10.29303/jkh.v8i1.164&quot;,&quot;issued&quot;:{&quot;date-parts&quot;:[[2023]]},&quot;issue&quot;:&quot;1&quot;,&quot;volume&quot;:&quot;8&quot;},&quot;isTemporary&quot;:false},{&quot;id&quot;:&quot;acd0d030-b6b7-3026-b85f-31ccf47402f0&quot;,&quot;itemData&quot;:{&quot;type&quot;:&quot;article-journal&quot;,&quot;id&quot;:&quot;acd0d030-b6b7-3026-b85f-31ccf47402f0&quot;,&quot;title&quot;:&quot;Strategi Pengembangan Sport tourism di Kek Mandalika Dalam Mewujudkan Sinergi Dengan Masyarakat Lokal Desa Kuta, Mertak, Sengkol Kecamatan Pujut, Kabupaten Lombok Tengah&quot;,&quot;author&quot;:[{&quot;family&quot;:&quot;Hamid&quot;,&quot;given&quot;:&quot;Abdul&quot;,&quot;parse-names&quot;:false,&quot;dropping-particle&quot;:&quot;&quot;,&quot;non-dropping-particle&quot;:&quot;&quot;},{&quot;family&quot;:&quot;Satiadji&quot;,&quot;given&quot;:&quot;Amirosa Ria&quot;,&quot;parse-names&quot;:false,&quot;dropping-particle&quot;:&quot;&quot;,&quot;non-dropping-particle&quot;:&quot;&quot;},{&quot;family&quot;:&quot;Zuraida&quot;,&quot;given&quot;:&quot;Lukia&quot;,&quot;parse-names&quot;:false,&quot;dropping-particle&quot;:&quot;&quot;,&quot;non-dropping-particle&quot;:&quot;&quot;}],&quot;container-title&quot;:&quot;Jurnal Ilmiah Global Education&quot;,&quot;DOI&quot;:&quot;10.55681/jige.v6i3.4030&quot;,&quot;issued&quot;:{&quot;date-parts&quot;:[[2025]]},&quot;page&quot;:&quot;1459-1473&quot;,&quot;abstract&quot;:&quot;This study aims to formulate development strategies for sport tourism in the Mandalika Special Economic Zone (SEZ), focusing on synergy with local communities in the villages of Kuta, Mertak, and Sengkol, Pujut District, Central Lombok. Despite Mandalika SEZ’s great potential through hosting international events such as MotoGP, the involvement of local communities in sport tourism activities remains limited. A qualitative approach was applied, with data collected through in-depth interviews, observation, and documentation. Data analysis employed SWOT and PESTEL frameworks, supported by triangulation to ensure data validity. The findings indicate that sustainable sport tourism development requires four key strategies: (1) collaboration between event organizers and local communities, (2) capacity building through training and digital promotion systems, (3) the formulation of standard operating procedures (SOPs) for community involvement and partnership regulations, and (4) legal and economic protection for local stakeholders. These strategies are implemented through community asset mapping, needs-based training, the formation of communication forums, and participatory evaluation. This study contributes to the development of a participatory sport tourism model within a special economic zone framework, positioning local communities as active agents of development.&quot;,&quot;issue&quot;:&quot;3&quot;,&quot;volume&quot;:&quot;6&quot;,&quot;container-title-short&quot;:&quot;&quot;},&quot;isTemporary&quot;:false},{&quot;id&quot;:&quot;48b84a3c-64d1-3c95-a10c-a31b8f884679&quot;,&quot;itemData&quot;:{&quot;type&quot;:&quot;article-journal&quot;,&quot;id&quot;:&quot;48b84a3c-64d1-3c95-a10c-a31b8f884679&quot;,&quot;title&quot;:&quot;Tata Kelola Homes Stay Berbasis Masyarakat Lokal Di Desa Kuta- Lombok Tengah&quot;,&quot;author&quot;:[{&quot;family&quot;:&quot;Akbar&quot;,&quot;given&quot;:&quot;Gansuli&quot;,&quot;parse-names&quot;:false,&quot;dropping-particle&quot;:&quot;&quot;,&quot;non-dropping-particle&quot;:&quot;&quot;},{&quot;family&quot;:&quot;Gede&quot;,&quot;given&quot;:&quot;I Putu&quot;,&quot;parse-names&quot;:false,&quot;dropping-particle&quot;:&quot;&quot;,&quot;non-dropping-particle&quot;:&quot;&quot;},{&quot;family&quot;:&quot;Sriwi&quot;,&quot;given&quot;:&quot;Ander&quot;,&quot;parse-names&quot;:false,&quot;dropping-particle&quot;:&quot;&quot;,&quot;non-dropping-particle&quot;:&quot;&quot;}],&quot;DOI&quot;:&quot;https://doi.org/10.47492/jrt.v3i3.3174&quot;,&quot;issued&quot;:{&quot;date-parts&quot;:[[2024]]},&quot;page&quot;:&quot;2020-2025&quot;,&quot;issue&quot;:&quot;3&quot;,&quot;volume&quot;:&quot;4&quot;,&quot;container-title-short&quot;:&quot;&quot;},&quot;isTemporary&quot;:false},{&quot;id&quot;:&quot;2d4e03e6-319e-3b0b-983b-c924aa4271fd&quot;,&quot;itemData&quot;:{&quot;type&quot;:&quot;article-journal&quot;,&quot;id&quot;:&quot;2d4e03e6-319e-3b0b-983b-c924aa4271fd&quot;,&quot;title&quot;:&quot;Strategi Pengembangan Pariwisata Berbasis Masyarakat Di Desa Karang Sidemen Kabupaten Lombok Tengah&quot;,&quot;author&quot;:[{&quot;family&quot;:&quot;Nurfaizah&quot;,&quot;given&quot;:&quot;Baiq&quot;,&quot;parse-names&quot;:false,&quot;dropping-particle&quot;:&quot;&quot;,&quot;non-dropping-particle&quot;:&quot;&quot;},{&quot;family&quot;:&quot;Murianto&quot;,&quot;given&quot;:&quot;Murianto&quot;,&quot;parse-names&quot;:false,&quot;dropping-particle&quot;:&quot;&quot;,&quot;non-dropping-particle&quot;:&quot;&quot;},{&quot;family&quot;:&quot;Abdullah&quot;,&quot;given&quot;:&quot;Ajuar&quot;,&quot;parse-names&quot;:false,&quot;dropping-particle&quot;:&quot;&quot;,&quot;non-dropping-particle&quot;:&quot;&quot;},{&quot;family&quot;:&quot;Idrus&quot;,&quot;given&quot;:&quot;Seych&quot;,&quot;parse-names&quot;:false,&quot;dropping-particle&quot;:&quot;&quot;,&quot;non-dropping-particle&quot;:&quot;&quot;}],&quot;container-title&quot;:&quot;Journal Of Responsible Tourism&quot;,&quot;DOI&quot;:&quot;10.47492/jrt.v3i2.2847&quot;,&quot;ISSN&quot;:&quot;2809-736X&quot;,&quot;issued&quot;:{&quot;date-parts&quot;:[[2023]]},&quot;page&quot;:&quot;679-690&quot;,&quot;abstract&quot;:&quot;Penelitian ini membahas tentang strategi pengembangan pariwisata berbasis masyarakat di Desa Karang Sidemen Kabupaten Lombok Tengah. Tujuan penelitian ini adalah untuk mengetahui potensi wisata yang dimiliki dan mengetahui bagaimana strategi pengembangan pariwisata berbasis masyarakat di Desa Karang Sidemen. Metode yang digunakan dalam penelitian ini meliputi dokumentasi, observasi, wawancara dan pendekatan menggunakan deskriptif kualitatif. Teknik analisi data yang digunakan dalam penelitian ini adalah teknik analisis SWOT. Hasil penelitian menunjukkan bahwa Desa Karang Sidemen memiliki berbagai potensi wisata alam dan budaya yang beragam yaitu Danau Biru, Air Terjun Penimpoh Datu Bajang, Mata Air Awet Muda Sungai Nyeredet, Glamping Lembah Surga, Taman Hutan Raya Nuraksa (Tahura Nuraksa), Tradisi Membajak Sawah Menggunakan Sapi, Sistem Pengobatan Tradisional, Tradisi Ngaji Kayat dan Permainan Tradisional. Namun sampai saat ini pengembangan pariwisata di Desa Karang Sidemen hanya terfokus pada satu daya tarik wisata yaitu Danau Biru. Meskipun pengelolaan pariwisata di Desa Karang Sidemen mengembangkan potensi lokal tetapi pengembangannnya hanya mengerucut pada potensi daya tarik fisik alam (sarana dan prasarananya), sementara pemberdayaan masyarakat dirasa belum optimal. Untuk itu, perlu adanya rumusan strategi pengembangan pariwisata berbasis masyarakat di Desa Karang Sidemen yang pengembangannya berdasarkan pada potensi daya tarik wisata yang dimiliki.&quot;,&quot;issue&quot;:&quot;2&quot;,&quot;volume&quot;:&quot;3&quot;,&quot;container-title-short&quot;:&quot;&quot;},&quot;isTemporary&quot;:false}]},{&quot;citationID&quot;:&quot;MENDELEY_CITATION_c8106125-5282-4cc9-bacc-9e010db3e4b5&quot;,&quot;properties&quot;:{&quot;noteIndex&quot;:0},&quot;isEdited&quot;:false,&quot;manualOverride&quot;:{&quot;isManuallyOverridden&quot;:false,&quot;citeprocText&quot;:&quot;(Tavakol et al., 2011)&quot;,&quot;manualOverrideText&quot;:&quot;&quot;},&quot;citationTag&quot;:&quot;MENDELEY_CITATION_v3_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&quot;,&quot;citationItems&quot;:[{&quot;id&quot;:&quot;0ca3beec-c548-36ad-b1e9-b3408421fddb&quot;,&quot;itemData&quot;:{&quot;type&quot;:&quot;article-journal&quot;,&quot;id&quot;:&quot;0ca3beec-c548-36ad-b1e9-b3408421fddb&quot;,&quot;title&quot;:&quot;Making sense of Cronbach's alpha&quot;,&quot;author&quot;:[{&quot;family&quot;:&quot;Tavakol&quot;,&quot;given&quot;:&quot;Mohsen&quot;,&quot;parse-names&quot;:false,&quot;dropping-particle&quot;:&quot;&quot;,&quot;non-dropping-particle&quot;:&quot;&quot;},{&quot;family&quot;:&quot;Dennick&quot;,&quot;given&quot;:&quot;Reg&quot;,&quot;parse-names&quot;:false,&quot;dropping-particle&quot;:&quot;&quot;,&quot;non-dropping-particle&quot;:&quot;&quot;},{&quot;family&quot;:&quot;Mahmoud&quot;,&quot;given&quot;:&quot;Mahmoud Ahmad&quot;,&quot;parse-names&quot;:false,&quot;dropping-particle&quot;:&quot;&quot;,&quot;non-dropping-particle&quot;:&quot;&quot;},{&quot;family&quot;:&quot;Ahmad&quot;,&quot;given&quot;:&quot;Shuhymee&quot;,&quot;parse-names&quot;:false,&quot;dropping-particle&quot;:&quot;bin&quot;,&quot;non-dropping-particle&quot;:&quot;&quot;},{&quot;family&quot;:&quot;Poespowidjojo&quot;,&quot;given&quot;:&quot;Donny Abdul Latief&quot;,&quot;parse-names&quot;:false,&quot;dropping-particle&quot;:&quot;&quot;,&quot;non-dropping-particle&quot;:&quot;&quot;}],&quot;container-title&quot;:&quot;International journal of medical education&quot;,&quot;container-title-short&quot;:&quot;Int. J. Med. Educ.&quot;,&quot;DOI&quot;:&quot;10.5116/ijme.4dfb.8dfd&quot;,&quot;ISSN&quot;:&quot;20426372&quot;,&quot;PMID&quot;:&quot;28029643&quot;,&quot;issued&quot;:{&quot;date-parts&quot;:[[2011]]},&quot;page&quot;:&quot;53-55&quot;,&quot;abstract&quot;:&quot;Purpose: The purpose of this study is to assess the validity of the psychological safety (PS), psychological empowerment (PE), intrapreneurial behaviour (IB) and individual performance (IP) construct measurements originally developed in Western individualistic cultures. Design/methodology/approach: Proportionate stratified systematic sampling was used among the production/operations middle managers in Nigerian medium enterprises (MEs), resulting in 355 valid responses. The measurements were analysed through internal consistency analysis, content, convergent and discriminant validity analysis. Findings: The result shows that all four construct measurements are suitable and appropriate to gauge the respective constructs in collectivistic cultures such as Nigeria. Research limitations/implications: Cross-sectional self-reported data were used to analyse the result of this study, which may lead to common method variance. Practical implications: Organizations, especially MEs, can use the validated measurements of this study to enhance work results in the Nigerian context. Social implications: Collectivistic cultures can benefit from the widely used measurements of PS, PE, IB and IP despite been originally developed in Western individualistic cultures. Originality/value: This paper extends the body of knowledge by validating the measurements of PS, PE, IB and IP in collectivistic cultures such as Nigeria. Measurement validation for these constructs is scarce in this context. Thus, this study will provide a consistent and efficient reference for forthcoming studies and improve the credibility and replicability of future research results in collectivistic cultures.&quot;,&quot;issue&quot;:&quot;3&quot;,&quot;volume&quot;:&quot;57&quot;},&quot;isTemporary&quot;:false}]},{&quot;citationID&quot;:&quot;MENDELEY_CITATION_684eefe9-cacb-4643-9e91-1bfd811769a8&quot;,&quot;properties&quot;:{&quot;noteIndex&quot;:0},&quot;isEdited&quot;:false,&quot;manualOverride&quot;:{&quot;isManuallyOverridden&quot;:false,&quot;citeprocText&quot;:&quot;(Kirkpatrick, 2016)&quot;,&quot;manualOverrideText&quot;:&quot;&quot;},&quot;citationTag&quot;:&quot;MENDELEY_CITATION_v3_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&quot;,&quot;citationItems&quot;:[{&quot;id&quot;:&quot;3b143d9a-5058-396e-aa2a-6ec735cb39fb&quot;,&quot;itemData&quot;:{&quot;type&quot;:&quot;article&quot;,&quot;id&quot;:&quot;3b143d9a-5058-396e-aa2a-6ec735cb39fb&quot;,&quot;title&quot;:&quot;What is The Kirkpatrick Model?&quot;,&quot;author&quot;:[{&quot;family&quot;:&quot;Kirkpatrick&quot;,&quot;given&quot;:&quot;&quot;,&quot;parse-names&quot;:false,&quot;dropping-particle&quot;:&quot;&quot;,&quot;non-dropping-particle&quot;:&quot;&quot;}],&quot;container-title&quot;:&quot;https://www.kirkpatrickpartners.com/the-kirkpatrick-model/&quot;,&quot;URL&quot;:&quot;https://www.kirkpatrickpartners.com/the-kirkpatrick-model/&quot;,&quot;issued&quot;:{&quot;date-parts&quot;:[[2016]]},&quot;container-title-short&quot;:&quot;&quot;},&quot;isTemporary&quot;:false}]},{&quot;citationID&quot;:&quot;MENDELEY_CITATION_6e539b16-1454-45c9-a357-adf87270f167&quot;,&quot;properties&quot;:{&quot;noteIndex&quot;:0},&quot;isEdited&quot;:false,&quot;manualOverride&quot;:{&quot;isManuallyOverridden&quot;:false,&quot;citeprocText&quot;:&quot;(Kirkpatrick, 2016)&quot;,&quot;manualOverrideText&quot;:&quot;&quot;},&quot;citationItems&quot;:[{&quot;id&quot;:&quot;3b143d9a-5058-396e-aa2a-6ec735cb39fb&quot;,&quot;itemData&quot;:{&quot;type&quot;:&quot;article&quot;,&quot;id&quot;:&quot;3b143d9a-5058-396e-aa2a-6ec735cb39fb&quot;,&quot;title&quot;:&quot;What is The Kirkpatrick Model?&quot;,&quot;author&quot;:[{&quot;family&quot;:&quot;Kirkpatrick&quot;,&quot;given&quot;:&quot;&quot;,&quot;parse-names&quot;:false,&quot;dropping-particle&quot;:&quot;&quot;,&quot;non-dropping-particle&quot;:&quot;&quot;}],&quot;container-title&quot;:&quot;https://www.kirkpatrickpartners.com/the-kirkpatrick-model/&quot;,&quot;URL&quot;:&quot;https://www.kirkpatrickpartners.com/the-kirkpatrick-model/&quot;,&quot;issued&quot;:{&quot;date-parts&quot;:[[2016]]},&quot;container-title-short&quot;:&quot;&quot;},&quot;isTemporary&quot;:false}],&quot;citationTag&quot;:&quot;MENDELEY_CITATION_v3_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&quot;},{&quot;citationID&quot;:&quot;MENDELEY_CITATION_2bbd51e7-4c05-4916-abb1-e8d328f0fa89&quot;,&quot;properties&quot;:{&quot;noteIndex&quot;:0},&quot;isEdited&quot;:false,&quot;manualOverride&quot;:{&quot;isManuallyOverridden&quot;:false,&quot;citeprocText&quot;:&quot;(Lassoued et al., 2022)&quot;,&quot;manualOverrideText&quot;:&quot;&quot;},&quot;citationTag&quot;:&quot;MENDELEY_CITATION_v3_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&quot;,&quot;citationItems&quot;:[{&quot;id&quot;:&quot;e52f39c1-ed79-3261-816c-61e267805809&quot;,&quot;itemData&quot;:{&quot;type&quot;:&quot;article-journal&quot;,&quot;id&quot;:&quot;e52f39c1-ed79-3261-816c-61e267805809&quot;,&quot;title&quot;:&quot;Measuring the Outcomes of Training Programs in the Hotel Industry: The Egyptian Case&quot;,&quot;author&quot;:[{&quot;family&quot;:&quot;Lassoued&quot;,&quot;given&quot;:&quot;Kais&quot;,&quot;parse-names&quot;:false,&quot;dropping-particle&quot;:&quot;&quot;,&quot;non-dropping-particle&quot;:&quot;&quot;},{&quot;family&quot;:&quot;Mahgoob&quot;,&quot;given&quot;:&quot;Fathy&quot;,&quot;parse-names&quot;:false,&quot;dropping-particle&quot;:&quot;&quot;,&quot;non-dropping-particle&quot;:&quot;&quot;},{&quot;family&quot;:&quot;Guirat&quot;,&quot;given&quot;:&quot;Rafika&quot;,&quot;parse-names&quot;:false,&quot;dropping-particle&quot;:&quot;Ben&quot;,&quot;non-dropping-particle&quot;:&quot;&quot;}],&quot;container-title&quot;:&quot;African Journal of Hospitality, Tourism and Leisure&quot;,&quot;DOI&quot;:&quot;10.46222/ajhtl.19770720.212&quot;,&quot;ISSN&quot;:&quot;2223814X&quot;,&quot;issued&quot;:{&quot;date-parts&quot;:[[2022]]},&quot;page&quot;:&quot;71-85&quot;,&quot;abstract&quot;:&quot;The objective of this study is to give an in-depth overview of the performance of employees after they have gone through training programs in the context of hotel management industry. More precisely, this research aims to study the effects of training programs on the behaviour, knowledge, attitude and loyalty of the employees after the training program is completed in the service section of food and beverages. A concrete, practical model based on improvisations to Kirkpatrick’s model, is designed and tested in a manner that it can measure the amelioration of performance in employees after the training program has been delivered. Data from different hotels in Cairo is collected and investigated to foresee the impact of these training programs. Designed questionnaires are employed to investigate the perceptions and behaviour of employees towards a training program along with the training outcomes. Key findings in this context suggest that this approach is highly beneficial for hotel managers who are keen to measure the outcomes of the training program to improve the quality of service. These are valuable results as hotel management industry is heavily reliant on the performance of human resource management function. It is evident from the proposed model in this study that if the knowledge of employees is improved with the help of effective training programs, then the overall performance metric is automatically augmented.&quot;,&quot;issue&quot;:&quot;1&quot;,&quot;volume&quot;:&quot;11&quot;,&quot;container-title-short&quot;:&quot;&quot;},&quot;isTemporary&quot;:false}]},{&quot;citationID&quot;:&quot;MENDELEY_CITATION_2098170e-4744-49de-bd8c-4869daa78a98&quot;,&quot;properties&quot;:{&quot;noteIndex&quot;:0},&quot;isEdited&quot;:false,&quot;manualOverride&quot;:{&quot;isManuallyOverridden&quot;:false,&quot;citeprocText&quot;:&quot;(Caferra et al., 2025; Pei et al., 2020)&quot;,&quot;manualOverrideText&quot;:&quot;&quot;},&quot;citationTag&quot;:&quot;MENDELEY_CITATION_v3_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&quot;,&quot;citationItems&quot;:[{&quot;id&quot;:&quot;3ea12969-0404-3c22-bc65-acf65a5f337d&quot;,&quot;itemData&quot;:{&quot;type&quot;:&quot;article-journal&quot;,&quot;id&quot;:&quot;3ea12969-0404-3c22-bc65-acf65a5f337d&quot;,&quot;title&quot;:&quot;Does the effect of customer experience on customer satisfaction create a sustainable competitive advantage? A comparative study of different shopping situations&quot;,&quot;author&quot;:[{&quot;family&quot;:&quot;Pei&quot;,&quot;given&quot;:&quot;Xue Liang&quot;,&quot;parse-names&quot;:false,&quot;dropping-particle&quot;:&quot;&quot;,&quot;non-dropping-particle&quot;:&quot;&quot;},{&quot;family&quot;:&quot;Guo&quot;,&quot;given&quot;:&quot;Jia Ning&quot;,&quot;parse-names&quot;:false,&quot;dropping-particle&quot;:&quot;&quot;,&quot;non-dropping-particle&quot;:&quot;&quot;},{&quot;family&quot;:&quot;Wu&quot;,&quot;given&quot;:&quot;Tung Ju&quot;,&quot;parse-names&quot;:false,&quot;dropping-particle&quot;:&quot;&quot;,&quot;non-dropping-particle&quot;:&quot;&quot;},{&quot;family&quot;:&quot;Zhou&quot;,&quot;given&quot;:&quot;Wen Xin&quot;,&quot;parse-names&quot;:false,&quot;dropping-particle&quot;:&quot;&quot;,&quot;non-dropping-particle&quot;:&quot;&quot;},{&quot;family&quot;:&quot;Yeh&quot;,&quot;given&quot;:&quot;Shang Pao&quot;,&quot;parse-names&quot;:false,&quot;dropping-particle&quot;:&quot;&quot;,&quot;non-dropping-particle&quot;:&quot;&quot;}],&quot;container-title&quot;:&quot;Sustainability (Switzerland)&quot;,&quot;DOI&quot;:&quot;10.3390/SU12187436&quot;,&quot;ISSN&quot;:&quot;20711050&quot;,&quot;issued&quot;:{&quot;date-parts&quot;:[[2020]]},&quot;page&quot;:&quot;1-19&quot;,&quot;abstract&quot;:&quot;With the rapid development of online shopping and traditional physical store shopping interweaving to form different shopping situations, customer experience has gradually become the main source of retailers' sustainable competitive advantage through differentiation. Retailers need to continuously improve customer experience in different shopping situations to maintain long-term sustainable customer satisfaction and achieve sustainability. The study aims to examine what kind of shopping situations will influence customer experience and customer satisfaction. A total of 288 questionnaires were collected from two different shopping situations (146 questionnaires from physical stores were collected in five cities in China and 142 online questionnaires were collected from 21 provinces in China), and multiple regression analysis was adopted to test the hypotheses. As a result, we found that customer experience with staff service, shopping environment, and shopping procedure has a positive influence on customer satisfaction. Different shopping situations significantly moderate the relationships among customer experience with the shopping environment, product experience, and customer satisfaction but rarely influence customer experience with staff service and service procedures. Finally, gender significantly moderates the relationship between customer experience and customer satisfaction in different shopping situations. This study theoretically reveals the relationship between customer experience and satisfaction in different shopping situations and provides practical suggestions for retailers to form differentiated sustainable competitive advantage through customer experience management.&quot;,&quot;issue&quot;:&quot;18&quot;,&quot;volume&quot;:&quot;12&quot;},&quot;isTemporary&quot;:false},{&quot;id&quot;:&quot;47d31266-e7a2-36e7-aca2-2a140f033459&quot;,&quot;itemData&quot;:{&quot;type&quot;:&quot;article-journal&quot;,&quot;id&quot;:&quot;47d31266-e7a2-36e7-aca2-2a140f033459&quot;,&quot;title&quot;:&quot;Exploring the impact of targeted communication on customer experience: A natural experiment&quot;,&quot;author&quot;:[{&quot;family&quot;:&quot;Caferra&quot;,&quot;given&quot;:&quot;Rocco&quot;,&quot;parse-names&quot;:false,&quot;dropping-particle&quot;:&quot;&quot;,&quot;non-dropping-particle&quot;:&quot;&quot;},{&quot;family&quot;:&quot;Schirone&quot;,&quot;given&quot;:&quot;Dario Antonio&quot;,&quot;parse-names&quot;:false,&quot;dropping-particle&quot;:&quot;&quot;,&quot;non-dropping-particle&quot;:&quot;&quot;},{&quot;family&quot;:&quot;Tiranzoni&quot;,&quot;given&quot;:&quot;Paola&quot;,&quot;parse-names&quot;:false,&quot;dropping-particle&quot;:&quot;&quot;,&quot;non-dropping-particle&quot;:&quot;&quot;},{&quot;family&quot;:&quot;Morone&quot;,&quot;given&quot;:&quot;Andrea&quot;,&quot;parse-names&quot;:false,&quot;dropping-particle&quot;:&quot;&quot;,&quot;non-dropping-particle&quot;:&quot;&quot;}],&quot;container-title&quot;:&quot;Journal of Retailing and Consumer Services&quot;,&quot;DOI&quot;:&quot;https://doi.org/10.1016/j.jretconser.2025.104240&quot;,&quot;ISSN&quot;:&quot;0969-6989&quot;,&quot;URL&quot;:&quot;https://www.sciencedirect.com/science/article/pii/S0969698925000190&quot;,&quot;issued&quot;:{&quot;date-parts&quot;:[[2025]]},&quot;page&quot;:&quot;104240&quot;,&quot;abstract&quot;:&quot;The decision-making process of consumers often remains a \&quot;black box,\&quot; influenced by a myriad of factors driving their choices. This paper shows how well-targeted communication can enhance customer experiences. By utilizing specific intercom announcements to encourage customers to seek staff assistance, the study assesses how this proactive engagement might improve the perceived quality of the shopping experience. The experiment specifically explores whether targeted communication can mitigate customer dissatisfaction arising from product unavailability or lack of suitable alternatives, a common issue known as the \&quot;out of stock\&quot; problem. Our findings reveal that this communication strategy significantly enhances customer experiences, demonstrating its effectiveness across diverse consumer segments. This research contributes to the existing body of literature on consumer decision-making and communication by offering a practical approach to elevate customer experiences through strategic communication. The experimental design and methodology employed in this study provide a nuanced understanding of how communication impacts customer satisfaction, presenting valuable insights for marketers and businesses focused on boosting customer satisfaction and loyalty. By bridging the gap between theoretical frameworks and practical applications, this study underscores the critical role of targeted communication in resolving common retail challenges and improving overall customer engagement. The implications of these findings suggest that businesses can substantially benefit from implementing such communication strategies to foster a more satisfying and loyal customer base.&quot;,&quot;volume&quot;:&quot;84&quot;,&quot;container-title-short&quot;:&quot;&quot;},&quot;isTemporary&quot;:false}]},{&quot;citationID&quot;:&quot;MENDELEY_CITATION_7aa8d473-37ee-4cf7-a9ee-f4c65dc601e9&quot;,&quot;properties&quot;:{&quot;noteIndex&quot;:0},&quot;isEdited&quot;:false,&quot;manualOverride&quot;:{&quot;isManuallyOverridden&quot;:false,&quot;citeprocText&quot;:&quot;(Karnando et al., 2025)&quot;,&quot;manualOverrideText&quot;:&quot;&quot;},&quot;citationTag&quot;:&quot;MENDELEY_CITATION_v3_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&quot;,&quot;citationItems&quot;:[{&quot;id&quot;:&quot;49528118-6d02-3097-b79c-293c1edab4a9&quot;,&quot;itemData&quot;:{&quot;type&quot;:&quot;article-journal&quot;,&quot;id&quot;:&quot;49528118-6d02-3097-b79c-293c1edab4a9&quot;,&quot;title&quot;:&quot;Training Evaluation Using Kirkpatrick Evaluation Model for Well Intervention Pressure Control Training&quot;,&quot;author&quot;:[{&quot;family&quot;:&quot;Karnando&quot;,&quot;given&quot;:&quot;&quot;,&quot;parse-names&quot;:false,&quot;dropping-particle&quot;:&quot;&quot;,&quot;non-dropping-particle&quot;:&quot;&quot;},{&quot;family&quot;:&quot;Krismadinata&quot;,&quot;given&quot;:&quot;&quot;,&quot;parse-names&quot;:false,&quot;dropping-particle&quot;:&quot;&quot;,&quot;non-dropping-particle&quot;:&quot;&quot;},{&quot;family&quot;:&quot;Ambiyar&quot;,&quot;given&quot;:&quot;&quot;,&quot;parse-names&quot;:false,&quot;dropping-particle&quot;:&quot;&quot;,&quot;non-dropping-particle&quot;:&quot;&quot;},{&quot;family&quot;:&quot;Giatman&quot;,&quot;given&quot;:&quot;M.&quot;,&quot;parse-names&quot;:false,&quot;dropping-particle&quot;:&quot;&quot;,&quot;non-dropping-particle&quot;:&quot;&quot;}],&quot;container-title&quot;:&quot;Jurnal Penelitian Pendidikan IPA&quot;,&quot;DOI&quot;:&quot;10.29303/jppipa.v11i3.10675&quot;,&quot;ISSN&quot;:&quot;2460-2582&quot;,&quot;issued&quot;:{&quot;date-parts&quot;:[[2025]]},&quot;page&quot;:&quot;143-152&quot;,&quot;abstract&quot;:&quot;This study aims to evaluate the effectiveness of Well Intervention Pressure Control training using the Kirkpatrick Evaluation Model which includes four levels: Reaction, Learning, Behavior, and Outcomes. The research method used was a mixed methods approach combining quantitative and qualitative methods. The evaluation was conducted on 62 trainees working in the oil and gas sector, with a randomly selected sample. The results showed that the training was successful in improving participants' understanding of the training material, including pressure control procedures, as well as other technical skills. At the Reaction level, the majority of participants responded positively to the materials and teaching. At the Learning level, there was a significant increase in pre-test and post-test scores, indicating the success of the training in improving participants' knowledge. At the Behavior level, participants successfully applied the skills learned in real field situations, while at the Outcome level, the training was shown to improve operational performance and safety. In conclusion, the training successfully met its objectives of enhancing participants' technical skills and professional attitudes, and contributed to improved organizational performance, especially in terms of safety and operational efficiency in the oil and gas industry.&quot;,&quot;issue&quot;:&quot;3&quot;,&quot;volume&quot;:&quot;11&quot;,&quot;container-title-short&quot;:&quot;&quot;},&quot;isTemporary&quot;:false}]},{&quot;citationID&quot;:&quot;MENDELEY_CITATION_85b86ae1-d497-40ea-8350-fda2aa931bbb&quot;,&quot;properties&quot;:{&quot;noteIndex&quot;:0},&quot;isEdited&quot;:false,&quot;manualOverride&quot;:{&quot;isManuallyOverridden&quot;:false,&quot;citeprocText&quot;:&quot;(Faisal-E-Alam et al., 2025; Nielsen &amp;#38; Shepherd, 2022; Wikström et al., 2023)&quot;,&quot;manualOverrideText&quot;:&quot;&quot;},&quot;citationTag&quot;:&quot;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&quot;,&quot;citationItems&quot;:[{&quot;id&quot;:&quot;e395e514-a857-3146-81b3-cdbcc06b251d&quot;,&quot;itemData&quot;:{&quot;type&quot;:&quot;article-journal&quot;,&quot;id&quot;:&quot;e395e514-a857-3146-81b3-cdbcc06b251d&quot;,&quot;title&quot;:&quot;Unveiling training effectiveness through behavior and performance evaluations: A case from developing country&quot;,&quot;author&quot;:[{&quot;family&quot;:&quot;Faisal-E-Alam&quot;,&quot;given&quot;:&quot;Md.&quot;,&quot;parse-names&quot;:false,&quot;dropping-particle&quot;:&quot;&quot;,&quot;non-dropping-particle&quot;:&quot;&quot;},{&quot;family&quot;:&quot;Begum&quot;,&quot;given&quot;:&quot;Zeennat Ara&quot;,&quot;parse-names&quot;:false,&quot;dropping-particle&quot;:&quot;&quot;,&quot;non-dropping-particle&quot;:&quot;&quot;},{&quot;family&quot;:&quot;Islam&quot;,&quot;given&quot;:&quot;Abu Reza Md Towfiqul&quot;,&quot;parse-names&quot;:false,&quot;dropping-particle&quot;:&quot;&quot;,&quot;non-dropping-particle&quot;:&quot;&quot;}],&quot;container-title&quot;:&quot;Evaluation and Program Planning&quot;,&quot;container-title-short&quot;:&quot;Eval. Program Plann.&quot;,&quot;DOI&quot;:&quot;https://doi.org/10.1016/j.evalprogplan.2025.102553&quot;,&quot;ISSN&quot;:&quot;0149-7189&quot;,&quot;URL&quot;:&quot;https://www.sciencedirect.com/science/article/pii/S0149718925000205&quot;,&quot;issued&quot;:{&quot;date-parts&quot;:[[2025]]},&quot;page&quot;:&quot;102553&quot;,&quot;abstract&quot;:&quot;This study investigates the effects of training on behavioral changes and overall performance at both the employee and organizational levels within the private banking sector of Bangladesh. Using the Theory of Planned Behavior (TPB) and Goal-Setting Theory (GST) as the theoretical framework, the research explores the underexamined third and fourth levels of Kirkpatrick’s training evaluation model, focusing specifically on behavioral outcomes and their subsequent influence on performance. Data collected from employees through structured questionnaires were analyzed using the Paired sample t-test. Findings reveal that training positively impacts employee behavior and enhances individual and organizational performance, particularly in effective teamwork, job satisfaction, work quality, task efficiency, and retaining existing clients while attracting new ones. This study represents one of the first empirical investigations in the banking sector of Bangladesh to link behavioral change evaluation to performance outcomes evaluation following training interventions. The research provides valuable insights for policymakers and organizational leaders, emphasizing the need for comprehensive training programs to promote skill development and behavioral and performance improvements. Future research should incorporate a larger sample size, adopt a longitudinal design, use advanced statistical methods like structural equation modeling (SEM), and investigate moderating variables to better understand the complex relationships between training interventions, employee behavior, and performance outcomes.&quot;,&quot;volume&quot;:&quot;110&quot;},&quot;isTemporary&quot;:false},{&quot;id&quot;:&quot;b88be772-bc6f-350f-b380-ec494521691e&quot;,&quot;itemData&quot;:{&quot;type&quot;:&quot;article-journal&quot;,&quot;id&quot;:&quot;b88be772-bc6f-350f-b380-ec494521691e&quot;,&quot;title&quot;:&quot;Understanding the outcomes of training to improve employee mental health: A novel framework for training transfer and effectiveness evaluation&quot;,&quot;author&quot;:[{&quot;family&quot;:&quot;Nielsen&quot;,&quot;given&quot;:&quot;Karina&quot;,&quot;parse-names&quot;:false,&quot;dropping-particle&quot;:&quot;&quot;,&quot;non-dropping-particle&quot;:&quot;&quot;},{&quot;family&quot;:&quot;Shepherd&quot;,&quot;given&quot;:&quot;Rose&quot;,&quot;parse-names&quot;:false,&quot;dropping-particle&quot;:&quot;&quot;,&quot;non-dropping-particle&quot;:&quot;&quot;}],&quot;container-title&quot;:&quot;Work &amp; Stress&quot;,&quot;container-title-short&quot;:&quot;Work Stress&quot;,&quot;DOI&quot;:&quot;10.1080/02678373.2022.2028318&quot;,&quot;ISSN&quot;:&quot;0267-8373&quot;,&quot;URL&quot;:&quot;https://doi.org/10.1080/02678373.2022.2028318&quot;,&quot;issued&quot;:{&quot;date-parts&quot;:[[2022,10,2]]},&quot;page&quot;:&quot;377-391&quot;,&quot;publisher&quot;:&quot;Routledge&quot;,&quot;issue&quot;:&quot;4&quot;,&quot;volume&quot;:&quot;36&quot;},&quot;isTemporary&quot;:false},{&quot;id&quot;:&quot;775d6505-e96d-3cb6-b826-eba14ffcc745&quot;,&quot;itemData&quot;:{&quot;type&quot;:&quot;article-journal&quot;,&quot;id&quot;:&quot;775d6505-e96d-3cb6-b826-eba14ffcc745&quot;,&quot;title&quot;:&quot;Mentoring programmes – building capacity for learning and retaining workers in the workplace&quot;,&quot;author&quot;:[{&quot;family&quot;:&quot;Wikström&quot;,&quot;given&quot;:&quot;Ewa&quot;,&quot;parse-names&quot;:false,&quot;dropping-particle&quot;:&quot;&quot;,&quot;non-dropping-particle&quot;:&quot;&quot;},{&quot;family&quot;:&quot;Arman&quot;,&quot;given&quot;:&quot;Rebecka&quot;,&quot;parse-names&quot;:false,&quot;dropping-particle&quot;:&quot;&quot;,&quot;non-dropping-particle&quot;:&quot;&quot;},{&quot;family&quot;:&quot;Dellve&quot;,&quot;given&quot;:&quot;Lotta&quot;,&quot;parse-names&quot;:false,&quot;dropping-particle&quot;:&quot;&quot;,&quot;non-dropping-particle&quot;:&quot;&quot;},{&quot;family&quot;:&quot;Gillberg&quot;,&quot;given&quot;:&quot;Nanna&quot;,&quot;parse-names&quot;:false,&quot;dropping-particle&quot;:&quot;&quot;,&quot;non-dropping-particle&quot;:&quot;&quot;}],&quot;container-title&quot;:&quot;Journal of Workplace Learning&quot;,&quot;DOI&quot;:&quot;10.1108/JWL-01-2023-0003&quot;,&quot;ISBN&quot;:&quot;0120230003&quot;,&quot;ISSN&quot;:&quot;13665626&quot;,&quot;issued&quot;:{&quot;date-parts&quot;:[[2023]]},&quot;page&quot;:&quot;732-751&quot;,&quot;abstract&quot;:&quot;Purpose: The purpose of the paper is to contribute to an understanding of the relational work carried out in mentoring programmes and the implications for learning capabilities in future practices. Design/methodology/approach: This study is based on field research of a mentoring programme bringing together senior and newly graduated workers in a large Swedish health care organisation. In total, 54 qualitative interviews with mentors, mentees, HR, managers and union representatives are included. Findings: The findings point to the role of trust and a psychological sense of community in the socialisation work that goes on in relationships between the mentor and the mentee. This in turn leads to increased social capital in the form of learning and retaining workers. The conditions for being vulnerable and asking questions, as well as daring to be independent, are an essential and decisive part of constructing bonding within the professional group and bridging out to other professions and parts of the organisation. Practical implications: The practical contribution from this study is the workplace conditions that are central to organising mentoring programmes, with implications for learning capabilities in future practices. Originality/value: With its theoretical focus on social capital, the study shows the importance of relationships for learning and retaining both newly graduated and experienced employees in a context of high employee turnover. It is central to achieving strong and mutually beneficial relationships through continual and trustful interaction between actors. By using the concepts of social capital, socialisation agents and psychological sense of community, this study contributes to an understanding of mentoring and workplace learning.&quot;,&quot;issue&quot;:&quot;8&quot;,&quot;volume&quot;:&quot;35&quot;},&quot;isTemporary&quot;:false}]},{&quot;citationID&quot;:&quot;MENDELEY_CITATION_f3c4a0ee-8a97-4701-82d6-39d968a9b23c&quot;,&quot;properties&quot;:{&quot;noteIndex&quot;:0},&quot;isEdited&quot;:false,&quot;manualOverride&quot;:{&quot;isManuallyOverridden&quot;:true,&quot;citeprocText&quot;:&quot;(Kiswantoro et al., 2024; Luekveerawattana, 2024a; Qiu et al., 2024)&quot;,&quot;manualOverrideText&quot;:&quot;(Kiswantoro et al., 2024; Luekveerawattana, 2024; Qiu et al., 2024)&quot;},&quot;citationTag&quot;:&quot;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&quot;,&quot;citationItems&quot;:[{&quot;id&quot;:&quot;45140b55-dbb4-38a9-99c2-e1e79f3188b4&quot;,&quot;itemData&quot;:{&quot;type&quot;:&quot;article-journal&quot;,&quot;id&quot;:&quot;45140b55-dbb4-38a9-99c2-e1e79f3188b4&quot;,&quot;title&quot;:&quot;Key factors facilitating homestay success : a focus on cultural and natural values&quot;,&quot;author&quot;:[{&quot;family&quot;:&quot;Luekveerawattana&quot;,&quot;given&quot;:&quot;Rumpapak&quot;,&quot;parse-names&quot;:false,&quot;dropping-particle&quot;:&quot;&quot;,&quot;non-dropping-particle&quot;:&quot;&quot;}],&quot;container-title&quot;:&quot;Cogent Social Sciences&quot;,&quot;container-title-short&quot;:&quot;Cogent Soc. Sci.&quot;,&quot;DOI&quot;:&quot;10.1080/23311886.2024.2341479&quot;,&quot;URL&quot;:&quot;https://doi.org/10.1080/23311886.2024.2341479&quot;,&quot;issued&quot;:{&quot;date-parts&quot;:[[2024]]},&quot;page&quot;:&quot;-&quot;,&quot;publisher&quot;:&quot;Cogent&quot;,&quot;issue&quot;:&quot;1&quot;,&quot;volume&quot;:&quot;10&quot;},&quot;isTemporary&quot;:false},{&quot;id&quot;:&quot;6676c572-3df3-3d7e-ac23-5afea533c3e7&quot;,&quot;itemData&quot;:{&quot;type&quot;:&quot;article-journal&quot;,&quot;id&quot;:&quot;6676c572-3df3-3d7e-ac23-5afea533c3e7&quot;,&quot;title&quot;:&quot;A Review of Risk Management in Homestays&quot;,&quot;author&quot;:[{&quot;family&quot;:&quot;Kiswantoro&quot;,&quot;given&quot;:&quot;Amin&quot;,&quot;parse-names&quot;:false,&quot;dropping-particle&quot;:&quot;&quot;,&quot;non-dropping-particle&quot;:&quot;&quot;},{&quot;family&quot;:&quot;Sugiarto&quot;,&quot;given&quot;:&quot;Sugiarto&quot;,&quot;parse-names&quot;:false,&quot;dropping-particle&quot;:&quot;&quot;,&quot;non-dropping-particle&quot;:&quot;&quot;},{&quot;family&quot;:&quot;Bahri&quot;,&quot;given&quot;:&quot;Asep Syaiful&quot;,&quot;parse-names&quot;:false,&quot;dropping-particle&quot;:&quot;&quot;,&quot;non-dropping-particle&quot;:&quot;&quot;},{&quot;family&quot;:&quot;Hendratono&quot;,&quot;given&quot;:&quot;Tonny&quot;,&quot;parse-names&quot;:false,&quot;dropping-particle&quot;:&quot;&quot;,&quot;non-dropping-particle&quot;:&quot;&quot;},{&quot;family&quot;:&quot;Susanto&quot;,&quot;given&quot;:&quot;Dwiyono Rudi&quot;,&quot;parse-names&quot;:false,&quot;dropping-particle&quot;:&quot;&quot;,&quot;non-dropping-particle&quot;:&quot;&quot;},{&quot;family&quot;:&quot;Rohman&quot;,&quot;given&quot;:&quot;Nur&quot;,&quot;parse-names&quot;:false,&quot;dropping-particle&quot;:&quot;&quot;,&quot;non-dropping-particle&quot;:&quot;&quot;},{&quot;family&quot;:&quot;Irawati&quot;,&quot;given&quot;:&quot;Novi&quot;,&quot;parse-names&quot;:false,&quot;dropping-particle&quot;:&quot;&quot;,&quot;non-dropping-particle&quot;:&quot;&quot;}],&quot;container-title&quot;:&quot;Ganaya : Jurnal Ilmu Sosial dan Humaniora&quot;,&quot;DOI&quot;:&quot;10.37329/ganaya.v7i1.2786&quot;,&quot;issued&quot;:{&quot;date-parts&quot;:[[2024]]},&quot;page&quot;:&quot;73-88&quot;,&quot;abstract&quot;:&quot;Studies on risk management in the tourism sector have been conducted, but studies on risk management, particularly for homestays, are lacking. This paper presents a theoretical study that provides an overview of the relevant theories on risk management in homestays. The literature review section presents selected articles appropriate to the research topic for review using identification, screening, eligibility, analysis, and conclusion steps. Risk management in homestays is crucial to avoid risks arising from the homestay management process itself and to create tourist satisfaction and loyalty. Novelty of this research is presents a complete explanation with data in the field, unlike previous studies that only presented articles with brief descriptions without accurate field data. The relevant theories selected in this study are also explained explicitly according to their function in the study.The purpose of this article is to identify articles that are related to the topic of risk management in homestays by grouping them into references, methods, main results, and limitations tables. Then from the selected articles, we present them in the form of a novelty table to make it easier to find novelty. Then finally, we created a special table that provides an explanation related to the variables discussed in this study. The selected data was obtained through the Scopus and Google Scholar tools which were entered into a table in CSV format. Furthermore, the database is used as a basis for conducting theoretical studies and literature reviews. This study uses a qualitative descriptive analysis method. The results of the study show that most of the articles related to the topic of risk management in homestays only present brief reviews and brief descriptions without providing explanations and understanding with accurate data research in the field. Many articles were also found that did not use basic theories that had a relationship between one variable and another.&quot;,&quot;issue&quot;:&quot;1&quot;,&quot;volume&quot;:&quot;7&quot;,&quot;container-title-short&quot;:&quot;&quot;},&quot;isTemporary&quot;:false},{&quot;id&quot;:&quot;cf4ba051-0413-3805-9ad2-7b7a7a25a783&quot;,&quot;itemData&quot;:{&quot;type&quot;:&quot;article-journal&quot;,&quot;id&quot;:&quot;cf4ba051-0413-3805-9ad2-7b7a7a25a783&quot;,&quot;title&quot;:&quot;Evaluating rural homestay accommodations in China using the hospitality index: An online review–based approach&quot;,&quot;author&quot;:[{&quot;family&quot;:&quot;Qiu&quot;,&quot;given&quot;:&quot;Wei Wei&quot;,&quot;parse-names&quot;:false,&quot;dropping-particle&quot;:&quot;&quot;,&quot;non-dropping-particle&quot;:&quot;&quot;},{&quot;family&quot;:&quot;Yu&quot;,&quot;given&quot;:&quot;Hai Tao&quot;,&quot;parse-names&quot;:false,&quot;dropping-particle&quot;:&quot;&quot;,&quot;non-dropping-particle&quot;:&quot;&quot;},{&quot;family&quot;:&quot;Lin&quot;,&quot;given&quot;:&quot;Pearl M.C.&quot;,&quot;parse-names&quot;:false,&quot;dropping-particle&quot;:&quot;&quot;,&quot;non-dropping-particle&quot;:&quot;&quot;},{&quot;family&quot;:&quot;Wilson AU&quot;,&quot;given&quot;:&quot;Wai Ching&quot;,&quot;parse-names&quot;:false,&quot;dropping-particle&quot;:&quot;&quot;,&quot;non-dropping-particle&quot;:&quot;&quot;}],&quot;container-title&quot;:&quot;International Journal of Hospitality Management&quot;,&quot;container-title-short&quot;:&quot;Int. J. Hosp. Manag.&quot;,&quot;DOI&quot;:&quot;10.1016/j.ijhm.2024.103792&quot;,&quot;ISSN&quot;:&quot;02784319&quot;,&quot;URL&quot;:&quot;https://doi.org/10.1016/j.ijhm.2024.103792&quot;,&quot;issued&quot;:{&quot;date-parts&quot;:[[2024]]},&quot;page&quot;:&quot;103792&quot;,&quot;abstract&quot;:&quot;Hospitality's central role in the tourism experience is well documented. However, traditional methods of hospitality measurement fail to capture tourists’ multi-dimensional experiences and the varying impacts of hospitality dimensions on individuals’ behavior. This study employed a big data–based mixed method approach, integrating grounded theory, natural language processing, and multiple linear regression. 68,421 online reviews of rural homestays were analyzed to investigate guests’ hospitality experiences. Findings showed that rural homestay hospitality comprises four dimensions: material objects, services, information, and emotions. The devised rural homestay hospitality index significantly influenced property ratings, with different hospitality dimensions having unique effects. The outcomes of this study hold implications for product creation, guest satisfaction, and the development of evaluation systems for rural homestays.&quot;,&quot;publisher&quot;:&quot;Elsevier Ltd&quot;,&quot;issue&quot;:&quot;May&quot;,&quot;volume&quot;:&quot;121&quot;},&quot;isTemporary&quot;:false}]},{&quot;citationID&quot;:&quot;MENDELEY_CITATION_97ffb182-c9a3-4538-8836-c3695d13afc0&quot;,&quot;properties&quot;:{&quot;noteIndex&quot;:0},&quot;isEdited&quot;:false,&quot;manualOverride&quot;:{&quot;isManuallyOverridden&quot;:true,&quot;citeprocText&quot;:&quot;(Faisal-E-Alam &amp;#38; Islam, 2025; Karnando et al., 2025)&quot;,&quot;manualOverrideText&quot;:&quot;(Faisal &amp; Islam, 2025; Karnando et al., 2025)&quot;},&quot;citationTag&quot;:&quot;MENDELEY_CITATION_v3_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&quot;,&quot;citationItems&quot;:[{&quot;id&quot;:&quot;469f33e9-9fd0-39dd-a3c1-b8faca61203a&quot;,&quot;itemData&quot;:{&quot;type&quot;:&quot;article-journal&quot;,&quot;id&quot;:&quot;469f33e9-9fd0-39dd-a3c1-b8faca61203a&quot;,&quot;title&quot;:&quot;Exploring the hierarchical framework of the Kirkpatrick model in training evaluation from a developing country&quot;,&quot;author&quot;:[{&quot;family&quot;:&quot;Faisal-E-Alam&quot;,&quot;given&quot;:&quot;Md.&quot;,&quot;parse-names&quot;:false,&quot;dropping-particle&quot;:&quot;&quot;,&quot;non-dropping-particle&quot;:&quot;&quot;},{&quot;family&quot;:&quot;Islam&quot;,&quot;given&quot;:&quot;Abu Reza Md. Towfiqul&quot;,&quot;parse-names&quot;:false,&quot;dropping-particle&quot;:&quot;&quot;,&quot;non-dropping-particle&quot;:&quot;&quot;}],&quot;container-title&quot;:&quot;Evaluation and Program Planning&quot;,&quot;container-title-short&quot;:&quot;Eval. Program Plann.&quot;,&quot;DOI&quot;:&quot;https://doi.org/10.1016/j.evalprogplan.2025.102696&quot;,&quot;ISSN&quot;:&quot;0149-7189&quot;,&quot;URL&quot;:&quot;https://www.sciencedirect.com/science/article/pii/S0149718925001636&quot;,&quot;issued&quot;:{&quot;date-parts&quot;:[[2025]]},&quot;page&quot;:&quot;102696&quot;,&quot;abstract&quot;:&quot;Training evaluation plays a vital role in determining the effectiveness of programs to enhance employee performance and achieve organizational goals. The Kirkpatrick Model, widely used across industries, offers a structured framework for evaluating training outcomes through its four levels: Reaction, Learning, Behavior, and Results. However, there is a significant lack of empirical validation of this model in developing economies, especially in the banking sector of Bangladesh. Furthermore, the existing literature often lacks evidence of causal relationships between the levels of the Kirkpatrick model. This study aims to examine the hierarchical relationships within the Kirkpatrick Model of training evaluation in the context of private commercial banks (PCBs) in Bangladesh. Using a quantitative research design and stratified random sampling, we tested three hypotheses concerning the interconnections between the four levels of the model. Data was collected through a questionnaire assessing trainee reactions, learning outcomes, behavioral changes, and results. The collected data was analyzed using Partial Least Squares (PLS)-based Structural Equation Modeling (SEM). The findings reveal that positive trainee reactions significantly influence learning outcomes, leading to behavioral changes in the workplace. These behavior changes ultimately lead to improved individual and organizational performance. The study highlights the importance of a hierarchical approach in training evaluation and validates the applicability of the Kirkpatrick Model in the banking sector. Overall, the findings provide both theoretical and practical implications, reinforcing the hierarchical relationships in the Kirkpatrick Training Evaluation Model and ensuring training effectiveness.&quot;,&quot;volume&quot;:&quot;113&quot;},&quot;isTemporary&quot;:false},{&quot;id&quot;:&quot;49528118-6d02-3097-b79c-293c1edab4a9&quot;,&quot;itemData&quot;:{&quot;type&quot;:&quot;article-journal&quot;,&quot;id&quot;:&quot;49528118-6d02-3097-b79c-293c1edab4a9&quot;,&quot;title&quot;:&quot;Training Evaluation Using Kirkpatrick Evaluation Model for Well Intervention Pressure Control Training&quot;,&quot;author&quot;:[{&quot;family&quot;:&quot;Karnando&quot;,&quot;given&quot;:&quot;&quot;,&quot;parse-names&quot;:false,&quot;dropping-particle&quot;:&quot;&quot;,&quot;non-dropping-particle&quot;:&quot;&quot;},{&quot;family&quot;:&quot;Krismadinata&quot;,&quot;given&quot;:&quot;&quot;,&quot;parse-names&quot;:false,&quot;dropping-particle&quot;:&quot;&quot;,&quot;non-dropping-particle&quot;:&quot;&quot;},{&quot;family&quot;:&quot;Ambiyar&quot;,&quot;given&quot;:&quot;&quot;,&quot;parse-names&quot;:false,&quot;dropping-particle&quot;:&quot;&quot;,&quot;non-dropping-particle&quot;:&quot;&quot;},{&quot;family&quot;:&quot;Giatman&quot;,&quot;given&quot;:&quot;M.&quot;,&quot;parse-names&quot;:false,&quot;dropping-particle&quot;:&quot;&quot;,&quot;non-dropping-particle&quot;:&quot;&quot;}],&quot;container-title&quot;:&quot;Jurnal Penelitian Pendidikan IPA&quot;,&quot;DOI&quot;:&quot;10.29303/jppipa.v11i3.10675&quot;,&quot;ISSN&quot;:&quot;2460-2582&quot;,&quot;issued&quot;:{&quot;date-parts&quot;:[[2025]]},&quot;page&quot;:&quot;143-152&quot;,&quot;abstract&quot;:&quot;This study aims to evaluate the effectiveness of Well Intervention Pressure Control training using the Kirkpatrick Evaluation Model which includes four levels: Reaction, Learning, Behavior, and Outcomes. The research method used was a mixed methods approach combining quantitative and qualitative methods. The evaluation was conducted on 62 trainees working in the oil and gas sector, with a randomly selected sample. The results showed that the training was successful in improving participants' understanding of the training material, including pressure control procedures, as well as other technical skills. At the Reaction level, the majority of participants responded positively to the materials and teaching. At the Learning level, there was a significant increase in pre-test and post-test scores, indicating the success of the training in improving participants' knowledge. At the Behavior level, participants successfully applied the skills learned in real field situations, while at the Outcome level, the training was shown to improve operational performance and safety. In conclusion, the training successfully met its objectives of enhancing participants' technical skills and professional attitudes, and contributed to improved organizational performance, especially in terms of safety and operational efficiency in the oil and gas industry.&quot;,&quot;issue&quot;:&quot;3&quot;,&quot;volume&quot;:&quot;11&quot;,&quot;container-title-short&quot;:&quot;&quot;},&quot;isTemporary&quot;:false}]},{&quot;citationID&quot;:&quot;MENDELEY_CITATION_3f7a0e24-13da-4b4f-99fb-f4c78e228d26&quot;,&quot;properties&quot;:{&quot;noteIndex&quot;:0},&quot;isEdited&quot;:false,&quot;manualOverride&quot;:{&quot;isManuallyOverridden&quot;:true,&quot;citeprocText&quot;:&quot;(Kiswantoro et al., 2024; Luekveerawattana, 2024b; Qiu et al., 2024)&quot;,&quot;manualOverrideText&quot;:&quot;(Kiswantoro et al., 2024; Luekveerawattana, 2024; Qiu et al., 2024).&quot;},&quot;citationTag&quot;:&quot;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&quot;,&quot;citationItems&quot;:[{&quot;id&quot;:&quot;cf4ba051-0413-3805-9ad2-7b7a7a25a783&quot;,&quot;itemData&quot;:{&quot;type&quot;:&quot;article-journal&quot;,&quot;id&quot;:&quot;cf4ba051-0413-3805-9ad2-7b7a7a25a783&quot;,&quot;title&quot;:&quot;Evaluating rural homestay accommodations in China using the hospitality index: An online review–based approach&quot;,&quot;author&quot;:[{&quot;family&quot;:&quot;Qiu&quot;,&quot;given&quot;:&quot;Wei Wei&quot;,&quot;parse-names&quot;:false,&quot;dropping-particle&quot;:&quot;&quot;,&quot;non-dropping-particle&quot;:&quot;&quot;},{&quot;family&quot;:&quot;Yu&quot;,&quot;given&quot;:&quot;Hai Tao&quot;,&quot;parse-names&quot;:false,&quot;dropping-particle&quot;:&quot;&quot;,&quot;non-dropping-particle&quot;:&quot;&quot;},{&quot;family&quot;:&quot;Lin&quot;,&quot;given&quot;:&quot;Pearl M.C.&quot;,&quot;parse-names&quot;:false,&quot;dropping-particle&quot;:&quot;&quot;,&quot;non-dropping-particle&quot;:&quot;&quot;},{&quot;family&quot;:&quot;Wilson AU&quot;,&quot;given&quot;:&quot;Wai Ching&quot;,&quot;parse-names&quot;:false,&quot;dropping-particle&quot;:&quot;&quot;,&quot;non-dropping-particle&quot;:&quot;&quot;}],&quot;container-title&quot;:&quot;International Journal of Hospitality Management&quot;,&quot;container-title-short&quot;:&quot;Int. J. Hosp. Manag.&quot;,&quot;DOI&quot;:&quot;10.1016/j.ijhm.2024.103792&quot;,&quot;ISSN&quot;:&quot;02784319&quot;,&quot;URL&quot;:&quot;https://doi.org/10.1016/j.ijhm.2024.103792&quot;,&quot;issued&quot;:{&quot;date-parts&quot;:[[2024]]},&quot;page&quot;:&quot;103792&quot;,&quot;abstract&quot;:&quot;Hospitality's central role in the tourism experience is well documented. However, traditional methods of hospitality measurement fail to capture tourists’ multi-dimensional experiences and the varying impacts of hospitality dimensions on individuals’ behavior. This study employed a big data–based mixed method approach, integrating grounded theory, natural language processing, and multiple linear regression. 68,421 online reviews of rural homestays were analyzed to investigate guests’ hospitality experiences. Findings showed that rural homestay hospitality comprises four dimensions: material objects, services, information, and emotions. The devised rural homestay hospitality index significantly influenced property ratings, with different hospitality dimensions having unique effects. The outcomes of this study hold implications for product creation, guest satisfaction, and the development of evaluation systems for rural homestays.&quot;,&quot;publisher&quot;:&quot;Elsevier Ltd&quot;,&quot;issue&quot;:&quot;May&quot;,&quot;volume&quot;:&quot;121&quot;},&quot;isTemporary&quot;:false},{&quot;id&quot;:&quot;6676c572-3df3-3d7e-ac23-5afea533c3e7&quot;,&quot;itemData&quot;:{&quot;type&quot;:&quot;article-journal&quot;,&quot;id&quot;:&quot;6676c572-3df3-3d7e-ac23-5afea533c3e7&quot;,&quot;title&quot;:&quot;A Review of Risk Management in Homestays&quot;,&quot;author&quot;:[{&quot;family&quot;:&quot;Kiswantoro&quot;,&quot;given&quot;:&quot;Amin&quot;,&quot;parse-names&quot;:false,&quot;dropping-particle&quot;:&quot;&quot;,&quot;non-dropping-particle&quot;:&quot;&quot;},{&quot;family&quot;:&quot;Sugiarto&quot;,&quot;given&quot;:&quot;Sugiarto&quot;,&quot;parse-names&quot;:false,&quot;dropping-particle&quot;:&quot;&quot;,&quot;non-dropping-particle&quot;:&quot;&quot;},{&quot;family&quot;:&quot;Bahri&quot;,&quot;given&quot;:&quot;Asep Syaiful&quot;,&quot;parse-names&quot;:false,&quot;dropping-particle&quot;:&quot;&quot;,&quot;non-dropping-particle&quot;:&quot;&quot;},{&quot;family&quot;:&quot;Hendratono&quot;,&quot;given&quot;:&quot;Tonny&quot;,&quot;parse-names&quot;:false,&quot;dropping-particle&quot;:&quot;&quot;,&quot;non-dropping-particle&quot;:&quot;&quot;},{&quot;family&quot;:&quot;Susanto&quot;,&quot;given&quot;:&quot;Dwiyono Rudi&quot;,&quot;parse-names&quot;:false,&quot;dropping-particle&quot;:&quot;&quot;,&quot;non-dropping-particle&quot;:&quot;&quot;},{&quot;family&quot;:&quot;Rohman&quot;,&quot;given&quot;:&quot;Nur&quot;,&quot;parse-names&quot;:false,&quot;dropping-particle&quot;:&quot;&quot;,&quot;non-dropping-particle&quot;:&quot;&quot;},{&quot;family&quot;:&quot;Irawati&quot;,&quot;given&quot;:&quot;Novi&quot;,&quot;parse-names&quot;:false,&quot;dropping-particle&quot;:&quot;&quot;,&quot;non-dropping-particle&quot;:&quot;&quot;}],&quot;container-title&quot;:&quot;Ganaya : Jurnal Ilmu Sosial dan Humaniora&quot;,&quot;DOI&quot;:&quot;10.37329/ganaya.v7i1.2786&quot;,&quot;issued&quot;:{&quot;date-parts&quot;:[[2024]]},&quot;page&quot;:&quot;73-88&quot;,&quot;abstract&quot;:&quot;Studies on risk management in the tourism sector have been conducted, but studies on risk management, particularly for homestays, are lacking. This paper presents a theoretical study that provides an overview of the relevant theories on risk management in homestays. The literature review section presents selected articles appropriate to the research topic for review using identification, screening, eligibility, analysis, and conclusion steps. Risk management in homestays is crucial to avoid risks arising from the homestay management process itself and to create tourist satisfaction and loyalty. Novelty of this research is presents a complete explanation with data in the field, unlike previous studies that only presented articles with brief descriptions without accurate field data. The relevant theories selected in this study are also explained explicitly according to their function in the study.The purpose of this article is to identify articles that are related to the topic of risk management in homestays by grouping them into references, methods, main results, and limitations tables. Then from the selected articles, we present them in the form of a novelty table to make it easier to find novelty. Then finally, we created a special table that provides an explanation related to the variables discussed in this study. The selected data was obtained through the Scopus and Google Scholar tools which were entered into a table in CSV format. Furthermore, the database is used as a basis for conducting theoretical studies and literature reviews. This study uses a qualitative descriptive analysis method. The results of the study show that most of the articles related to the topic of risk management in homestays only present brief reviews and brief descriptions without providing explanations and understanding with accurate data research in the field. Many articles were also found that did not use basic theories that had a relationship between one variable and another.&quot;,&quot;issue&quot;:&quot;1&quot;,&quot;volume&quot;:&quot;7&quot;,&quot;container-title-short&quot;:&quot;&quot;},&quot;isTemporary&quot;:false},{&quot;id&quot;:&quot;57760558-f6ec-3c5b-8f58-bd891107418b&quot;,&quot;itemData&quot;:{&quot;type&quot;:&quot;article-journal&quot;,&quot;id&quot;:&quot;57760558-f6ec-3c5b-8f58-bd891107418b&quot;,&quot;title&quot;:&quot;Key factors facilitating homestay success: a focus on cultural and natural values&quot;,&quot;author&quot;:[{&quot;family&quot;:&quot;Luekveerawattana&quot;,&quot;given&quot;:&quot;Rumpapak&quot;,&quot;parse-names&quot;:false,&quot;dropping-particle&quot;:&quot;&quot;,&quot;non-dropping-particle&quot;:&quot;&quot;}],&quot;container-title&quot;:&quot;Cogent Social Sciences&quot;,&quot;container-title-short&quot;:&quot;Cogent Soc. Sci.&quot;,&quot;DOI&quot;:&quot;10.1080/23311886.2024.2341479&quot;,&quot;ISSN&quot;:&quot;23311886&quot;,&quot;URL&quot;:&quot;https://doi.org/10.1080/23311886.2024.2341479&quot;,&quot;issued&quot;:{&quot;date-parts&quot;:[[2024]]},&quot;page&quot;:&quot;-&quot;,&quot;abstract&quot;:&quot;This study explores the factors influencing safe and relaxed atmosphere (SRA), homestay business management (HBM), and cultural and natural values (CNV) in rural tourism and homestay experiences. Data were collected through cluster sampling of tourists and homestay hosts, and structural equation modelling was used for analysis. The findings highlight the significance of specific factors in shaping SRA, HBM, and CNV. Homestay hosts’ care and safety, the effectiveness of the management committee, and the attractiveness of local products and attractions contribute significantly to rural accommodations’ success. Moreover, preserving natural resources and the environment is vital for enhancing the appeal and sustainability of the homestay experience. These implications are crucial for policymakers, local communities, and businesses in rural tourism. Focusing on these key factors can enhance accommodations, encourage community involvement, and protect natural and cultural assets. These outcomes lead to more sustainable and enjoyable tourist experiences, benefit the local economy, and promote resource conservation. This research offers valuable insights into the relationships between observed variables and constructs, providing targeted strategies for sustainable tourism development. By aligning efforts, stakeholders can offer authentic and immersive experiences. This study helps advance rural tourism by identifying key determinants and emphasising responsible industry practices.&quot;,&quot;publisher&quot;:&quot;Cogent&quot;,&quot;issue&quot;:&quot;1&quot;,&quot;volume&quot;:&quot;10&quot;},&quot;isTemporary&quot;:false}]},{&quot;citationID&quot;:&quot;MENDELEY_CITATION_fbb42887-eb85-41e7-b39b-dbfc606283ef&quot;,&quot;properties&quot;:{&quot;noteIndex&quot;:0},&quot;isEdited&quot;:false,&quot;manualOverride&quot;:{&quot;isManuallyOverridden&quot;:true,&quot;citeprocText&quot;:&quot;(Kurtaliqi et al., 2024; Luekveerawattana, 2024b; Qiu et al., 2024)&quot;,&quot;manualOverrideText&quot;:&quot;(Kurtaliqi et al., 2024; Luekveerawattana, 2024; Qiu et al., 2024).&quot;},&quot;citationTag&quot;:&quot;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&quot;,&quot;citationItems&quot;:[{&quot;id&quot;:&quot;d512196d-2356-3920-bca3-9ed7a7003327&quot;,&quot;itemData&quot;:{&quot;type&quot;:&quot;article-journal&quot;,&quot;id&quot;:&quot;d512196d-2356-3920-bca3-9ed7a7003327&quot;,&quot;title&quot;:&quot;Using advanced mixed methods approaches: Combining PLS-SEM and qualitative studies&quot;,&quot;author&quot;:[{&quot;family&quot;:&quot;Kurtaliqi&quot;,&quot;given&quot;:&quot;Fidan&quot;,&quot;parse-names&quot;:false,&quot;dropping-particle&quot;:&quot;&quot;,&quot;non-dropping-particle&quot;:&quot;&quot;},{&quot;family&quot;:&quot;Lancelot Miltgen&quot;,&quot;given&quot;:&quot;Caroline&quot;,&quot;parse-names&quot;:false,&quot;dropping-particle&quot;:&quot;&quot;,&quot;non-dropping-particle&quot;:&quot;&quot;},{&quot;family&quot;:&quot;Viglia&quot;,&quot;given&quot;:&quot;Giampaolo&quot;,&quot;parse-names&quot;:false,&quot;dropping-particle&quot;:&quot;&quot;,&quot;non-dropping-particle&quot;:&quot;&quot;},{&quot;family&quot;:&quot;Pantin-Sohier&quot;,&quot;given&quot;:&quot;Gaëlle&quot;,&quot;parse-names&quot;:false,&quot;dropping-particle&quot;:&quot;&quot;,&quot;non-dropping-particle&quot;:&quot;&quot;}],&quot;container-title&quot;:&quot;Journal of Business Research&quot;,&quot;container-title-short&quot;:&quot;J. Bus. Res.&quot;,&quot;DOI&quot;:&quot;https://doi.org/10.1016/j.jbusres.2023.114464&quot;,&quot;ISSN&quot;:&quot;0148-2963&quot;,&quot;URL&quot;:&quot;https://www.sciencedirect.com/science/article/pii/S0148296323008238&quot;,&quot;issued&quot;:{&quot;date-parts&quot;:[[2024]]},&quot;page&quot;:&quot;114464&quot;,&quot;abstract&quot;:&quot;The PLS-SEM method is a robust approach to researching consumer behavior. However, understanding a phenomenon only through a quantitative approach may not be sufficient in some situations. This work explains how PLS-SEM results can be enhanced by complementing a quantitative approach with other methods proposing an advanced mixed methods design. We provide an actionable guideline, illustrating the approach through three studies in a retail context and using both an exploratory and intervention design. Our results show how exploratory studies help produce relevant contingent concepts for PLS-SEM testing. Building on PLS-SEM findings, a final qualitative study offers fine-grained intervention insights. We present a checklist for researchers on integrating advanced mixed methods and PLS-SEM.&quot;,&quot;volume&quot;:&quot;172&quot;},&quot;isTemporary&quot;:false},{&quot;id&quot;:&quot;cf4ba051-0413-3805-9ad2-7b7a7a25a783&quot;,&quot;itemData&quot;:{&quot;type&quot;:&quot;article-journal&quot;,&quot;id&quot;:&quot;cf4ba051-0413-3805-9ad2-7b7a7a25a783&quot;,&quot;title&quot;:&quot;Evaluating rural homestay accommodations in China using the hospitality index: An online review–based approach&quot;,&quot;author&quot;:[{&quot;family&quot;:&quot;Qiu&quot;,&quot;given&quot;:&quot;Wei Wei&quot;,&quot;parse-names&quot;:false,&quot;dropping-particle&quot;:&quot;&quot;,&quot;non-dropping-particle&quot;:&quot;&quot;},{&quot;family&quot;:&quot;Yu&quot;,&quot;given&quot;:&quot;Hai Tao&quot;,&quot;parse-names&quot;:false,&quot;dropping-particle&quot;:&quot;&quot;,&quot;non-dropping-particle&quot;:&quot;&quot;},{&quot;family&quot;:&quot;Lin&quot;,&quot;given&quot;:&quot;Pearl M.C.&quot;,&quot;parse-names&quot;:false,&quot;dropping-particle&quot;:&quot;&quot;,&quot;non-dropping-particle&quot;:&quot;&quot;},{&quot;family&quot;:&quot;Wilson AU&quot;,&quot;given&quot;:&quot;Wai Ching&quot;,&quot;parse-names&quot;:false,&quot;dropping-particle&quot;:&quot;&quot;,&quot;non-dropping-particle&quot;:&quot;&quot;}],&quot;container-title&quot;:&quot;International Journal of Hospitality Management&quot;,&quot;container-title-short&quot;:&quot;Int. J. Hosp. Manag.&quot;,&quot;DOI&quot;:&quot;10.1016/j.ijhm.2024.103792&quot;,&quot;ISSN&quot;:&quot;02784319&quot;,&quot;URL&quot;:&quot;https://doi.org/10.1016/j.ijhm.2024.103792&quot;,&quot;issued&quot;:{&quot;date-parts&quot;:[[2024]]},&quot;page&quot;:&quot;103792&quot;,&quot;abstract&quot;:&quot;Hospitality's central role in the tourism experience is well documented. However, traditional methods of hospitality measurement fail to capture tourists’ multi-dimensional experiences and the varying impacts of hospitality dimensions on individuals’ behavior. This study employed a big data–based mixed method approach, integrating grounded theory, natural language processing, and multiple linear regression. 68,421 online reviews of rural homestays were analyzed to investigate guests’ hospitality experiences. Findings showed that rural homestay hospitality comprises four dimensions: material objects, services, information, and emotions. The devised rural homestay hospitality index significantly influenced property ratings, with different hospitality dimensions having unique effects. The outcomes of this study hold implications for product creation, guest satisfaction, and the development of evaluation systems for rural homestays.&quot;,&quot;publisher&quot;:&quot;Elsevier Ltd&quot;,&quot;issue&quot;:&quot;May&quot;,&quot;volume&quot;:&quot;121&quot;},&quot;isTemporary&quot;:false},{&quot;id&quot;:&quot;57760558-f6ec-3c5b-8f58-bd891107418b&quot;,&quot;itemData&quot;:{&quot;type&quot;:&quot;article-journal&quot;,&quot;id&quot;:&quot;57760558-f6ec-3c5b-8f58-bd891107418b&quot;,&quot;title&quot;:&quot;Key factors facilitating homestay success: a focus on cultural and natural values&quot;,&quot;author&quot;:[{&quot;family&quot;:&quot;Luekveerawattana&quot;,&quot;given&quot;:&quot;Rumpapak&quot;,&quot;parse-names&quot;:false,&quot;dropping-particle&quot;:&quot;&quot;,&quot;non-dropping-particle&quot;:&quot;&quot;}],&quot;container-title&quot;:&quot;Cogent Social Sciences&quot;,&quot;container-title-short&quot;:&quot;Cogent Soc. Sci.&quot;,&quot;DOI&quot;:&quot;10.1080/23311886.2024.2341479&quot;,&quot;ISSN&quot;:&quot;23311886&quot;,&quot;URL&quot;:&quot;https://doi.org/10.1080/23311886.2024.2341479&quot;,&quot;issued&quot;:{&quot;date-parts&quot;:[[2024]]},&quot;page&quot;:&quot;-&quot;,&quot;abstract&quot;:&quot;This study explores the factors influencing safe and relaxed atmosphere (SRA), homestay business management (HBM), and cultural and natural values (CNV) in rural tourism and homestay experiences. Data were collected through cluster sampling of tourists and homestay hosts, and structural equation modelling was used for analysis. The findings highlight the significance of specific factors in shaping SRA, HBM, and CNV. Homestay hosts’ care and safety, the effectiveness of the management committee, and the attractiveness of local products and attractions contribute significantly to rural accommodations’ success. Moreover, preserving natural resources and the environment is vital for enhancing the appeal and sustainability of the homestay experience. These implications are crucial for policymakers, local communities, and businesses in rural tourism. Focusing on these key factors can enhance accommodations, encourage community involvement, and protect natural and cultural assets. These outcomes lead to more sustainable and enjoyable tourist experiences, benefit the local economy, and promote resource conservation. This research offers valuable insights into the relationships between observed variables and constructs, providing targeted strategies for sustainable tourism development. By aligning efforts, stakeholders can offer authentic and immersive experiences. This study helps advance rural tourism by identifying key determinants and emphasising responsible industry practices.&quot;,&quot;publisher&quot;:&quot;Cogent&quot;,&quot;issue&quot;:&quot;1&quot;,&quot;volume&quot;:&quot;10&quot;},&quot;isTemporary&quot;:false}]},{&quot;citationID&quot;:&quot;MENDELEY_CITATION_4ad1cee5-10c2-4ec1-a195-f382f244cd89&quot;,&quot;properties&quot;:{&quot;noteIndex&quot;:0},&quot;isEdited&quot;:false,&quot;manualOverride&quot;:{&quot;isManuallyOverridden&quot;:true,&quot;citeprocText&quot;:&quot;(Ayu et al., 2022; Faisal-E-Alam &amp;#38; Islam, 2025)&quot;,&quot;manualOverrideText&quot;:&quot;(Ayu et al., 2022; Faisal &amp; Islam, 2025).&quot;},&quot;citationTag&quot;:&quot;MENDELEY_CITATION_v3_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&quot;,&quot;citationItems&quot;:[{&quot;id&quot;:&quot;fc4009e8-fd83-3d90-9227-0f8e993daa58&quot;,&quot;itemData&quot;:{&quot;type&quot;:&quot;article-journal&quot;,&quot;id&quot;:&quot;fc4009e8-fd83-3d90-9227-0f8e993daa58&quot;,&quot;title&quot;:&quot;Effectiveness of Training Program in Movenpick Resort &amp; Spa Jimbaran : An Evaluative Study&quot;,&quot;author&quot;:[{&quot;family&quot;:&quot;Ayu&quot;,&quot;given&quot;:&quot;I Gusti&quot;,&quot;parse-names&quot;:false,&quot;dropping-particle&quot;:&quot;&quot;,&quot;non-dropping-particle&quot;:&quot;&quot;},{&quot;family&quot;:&quot;Wita&quot;,&quot;given&quot;:&quot;Putu&quot;,&quot;parse-names&quot;:false,&quot;dropping-particle&quot;:&quot;&quot;,&quot;non-dropping-particle&quot;:&quot;&quot;},{&quot;family&quot;:&quot;Ari&quot;,&quot;given&quot;:&quot;Komang&quot;,&quot;parse-names&quot;:false,&quot;dropping-particle&quot;:&quot;&quot;,&quot;non-dropping-particle&quot;:&quot;&quot;},{&quot;family&quot;:&quot;Listianti&quot;,&quot;given&quot;:&quot;Herlia&quot;,&quot;parse-names&quot;:false,&quot;dropping-particle&quot;:&quot;&quot;,&quot;non-dropping-particle&quot;:&quot;&quot;}],&quot;container-title&quot;:&quot;International Journal of Applied Research in Tourism and Hospitality&quot;,&quot;DOI&quot;:&quot;https://doi. org/10.52352/ jarthy.v1i1.809&quot;,&quot;URL&quot;:&quot;file:///F:/HALIBURNEO/TEh Yuli UPI/Efectiveness/4.pdf&quot;,&quot;issued&quot;:{&quot;date-parts&quot;:[[2022]]},&quot;page&quot;:&quot;13-27&quot;,&quot;issue&quot;:&quot;1&quot;,&quot;volume&quot;:&quot;1&quot;},&quot;isTemporary&quot;:false},{&quot;id&quot;:&quot;469f33e9-9fd0-39dd-a3c1-b8faca61203a&quot;,&quot;itemData&quot;:{&quot;type&quot;:&quot;article-journal&quot;,&quot;id&quot;:&quot;469f33e9-9fd0-39dd-a3c1-b8faca61203a&quot;,&quot;title&quot;:&quot;Exploring the hierarchical framework of the Kirkpatrick model in training evaluation from a developing country&quot;,&quot;author&quot;:[{&quot;family&quot;:&quot;Faisal-E-Alam&quot;,&quot;given&quot;:&quot;Md.&quot;,&quot;parse-names&quot;:false,&quot;dropping-particle&quot;:&quot;&quot;,&quot;non-dropping-particle&quot;:&quot;&quot;},{&quot;family&quot;:&quot;Islam&quot;,&quot;given&quot;:&quot;Abu Reza Md. Towfiqul&quot;,&quot;parse-names&quot;:false,&quot;dropping-particle&quot;:&quot;&quot;,&quot;non-dropping-particle&quot;:&quot;&quot;}],&quot;container-title&quot;:&quot;Evaluation and Program Planning&quot;,&quot;container-title-short&quot;:&quot;Eval. Program Plann.&quot;,&quot;DOI&quot;:&quot;https://doi.org/10.1016/j.evalprogplan.2025.102696&quot;,&quot;ISSN&quot;:&quot;0149-7189&quot;,&quot;URL&quot;:&quot;https://www.sciencedirect.com/science/article/pii/S0149718925001636&quot;,&quot;issued&quot;:{&quot;date-parts&quot;:[[2025]]},&quot;page&quot;:&quot;102696&quot;,&quot;abstract&quot;:&quot;Training evaluation plays a vital role in determining the effectiveness of programs to enhance employee performance and achieve organizational goals. The Kirkpatrick Model, widely used across industries, offers a structured framework for evaluating training outcomes through its four levels: Reaction, Learning, Behavior, and Results. However, there is a significant lack of empirical validation of this model in developing economies, especially in the banking sector of Bangladesh. Furthermore, the existing literature often lacks evidence of causal relationships between the levels of the Kirkpatrick model. This study aims to examine the hierarchical relationships within the Kirkpatrick Model of training evaluation in the context of private commercial banks (PCBs) in Bangladesh. Using a quantitative research design and stratified random sampling, we tested three hypotheses concerning the interconnections between the four levels of the model. Data was collected through a questionnaire assessing trainee reactions, learning outcomes, behavioral changes, and results. The collected data was analyzed using Partial Least Squares (PLS)-based Structural Equation Modeling (SEM). The findings reveal that positive trainee reactions significantly influence learning outcomes, leading to behavioral changes in the workplace. These behavior changes ultimately lead to improved individual and organizational performance. The study highlights the importance of a hierarchical approach in training evaluation and validates the applicability of the Kirkpatrick Model in the banking sector. Overall, the findings provide both theoretical and practical implications, reinforcing the hierarchical relationships in the Kirkpatrick Training Evaluation Model and ensuring training effectiveness.&quot;,&quot;volume&quot;:&quot;113&quot;},&quot;isTemporary&quot;:false}]},{&quot;citationID&quot;:&quot;MENDELEY_CITATION_b4692dab-de21-4b93-828d-a937f02a395e&quot;,&quot;properties&quot;:{&quot;noteIndex&quot;:0},&quot;isEdited&quot;:false,&quot;manualOverride&quot;:{&quot;isManuallyOverridden&quot;:true,&quot;citeprocText&quot;:&quot;(Ayu et al., 2022; Karnando et al., 2025; Qiu et al., 2024)&quot;,&quot;manualOverrideText&quot;:&quot;(Karnando et al., 2025; Qiu et al., 2024)&quot;},&quot;citationTag&quot;:&quot;MENDELEY_CITATION_v3_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&quot;,&quot;citationItems&quot;:[{&quot;id&quot;:&quot;fc4009e8-fd83-3d90-9227-0f8e993daa58&quot;,&quot;itemData&quot;:{&quot;type&quot;:&quot;article-journal&quot;,&quot;id&quot;:&quot;fc4009e8-fd83-3d90-9227-0f8e993daa58&quot;,&quot;title&quot;:&quot;Effectiveness of Training Program in Movenpick Resort &amp; Spa Jimbaran : An Evaluative Study&quot;,&quot;author&quot;:[{&quot;family&quot;:&quot;Ayu&quot;,&quot;given&quot;:&quot;I Gusti&quot;,&quot;parse-names&quot;:false,&quot;dropping-particle&quot;:&quot;&quot;,&quot;non-dropping-particle&quot;:&quot;&quot;},{&quot;family&quot;:&quot;Wita&quot;,&quot;given&quot;:&quot;Putu&quot;,&quot;parse-names&quot;:false,&quot;dropping-particle&quot;:&quot;&quot;,&quot;non-dropping-particle&quot;:&quot;&quot;},{&quot;family&quot;:&quot;Ari&quot;,&quot;given&quot;:&quot;Komang&quot;,&quot;parse-names&quot;:false,&quot;dropping-particle&quot;:&quot;&quot;,&quot;non-dropping-particle&quot;:&quot;&quot;},{&quot;family&quot;:&quot;Listianti&quot;,&quot;given&quot;:&quot;Herlia&quot;,&quot;parse-names&quot;:false,&quot;dropping-particle&quot;:&quot;&quot;,&quot;non-dropping-particle&quot;:&quot;&quot;}],&quot;container-title&quot;:&quot;International Journal of Applied Research in Tourism and Hospitality&quot;,&quot;DOI&quot;:&quot;https://doi. org/10.52352/ jarthy.v1i1.809&quot;,&quot;URL&quot;:&quot;file:///F:/HALIBURNEO/TEh Yuli UPI/Efectiveness/4.pdf&quot;,&quot;issued&quot;:{&quot;date-parts&quot;:[[2022]]},&quot;page&quot;:&quot;13-27&quot;,&quot;issue&quot;:&quot;1&quot;,&quot;volume&quot;:&quot;1&quot;},&quot;isTemporary&quot;:false},{&quot;id&quot;:&quot;49528118-6d02-3097-b79c-293c1edab4a9&quot;,&quot;itemData&quot;:{&quot;type&quot;:&quot;article-journal&quot;,&quot;id&quot;:&quot;49528118-6d02-3097-b79c-293c1edab4a9&quot;,&quot;title&quot;:&quot;Training Evaluation Using Kirkpatrick Evaluation Model for Well Intervention Pressure Control Training&quot;,&quot;author&quot;:[{&quot;family&quot;:&quot;Karnando&quot;,&quot;given&quot;:&quot;&quot;,&quot;parse-names&quot;:false,&quot;dropping-particle&quot;:&quot;&quot;,&quot;non-dropping-particle&quot;:&quot;&quot;},{&quot;family&quot;:&quot;Krismadinata&quot;,&quot;given&quot;:&quot;&quot;,&quot;parse-names&quot;:false,&quot;dropping-particle&quot;:&quot;&quot;,&quot;non-dropping-particle&quot;:&quot;&quot;},{&quot;family&quot;:&quot;Ambiyar&quot;,&quot;given&quot;:&quot;&quot;,&quot;parse-names&quot;:false,&quot;dropping-particle&quot;:&quot;&quot;,&quot;non-dropping-particle&quot;:&quot;&quot;},{&quot;family&quot;:&quot;Giatman&quot;,&quot;given&quot;:&quot;M.&quot;,&quot;parse-names&quot;:false,&quot;dropping-particle&quot;:&quot;&quot;,&quot;non-dropping-particle&quot;:&quot;&quot;}],&quot;container-title&quot;:&quot;Jurnal Penelitian Pendidikan IPA&quot;,&quot;DOI&quot;:&quot;10.29303/jppipa.v11i3.10675&quot;,&quot;ISSN&quot;:&quot;2460-2582&quot;,&quot;issued&quot;:{&quot;date-parts&quot;:[[2025]]},&quot;page&quot;:&quot;143-152&quot;,&quot;abstract&quot;:&quot;This study aims to evaluate the effectiveness of Well Intervention Pressure Control training using the Kirkpatrick Evaluation Model which includes four levels: Reaction, Learning, Behavior, and Outcomes. The research method used was a mixed methods approach combining quantitative and qualitative methods. The evaluation was conducted on 62 trainees working in the oil and gas sector, with a randomly selected sample. The results showed that the training was successful in improving participants' understanding of the training material, including pressure control procedures, as well as other technical skills. At the Reaction level, the majority of participants responded positively to the materials and teaching. At the Learning level, there was a significant increase in pre-test and post-test scores, indicating the success of the training in improving participants' knowledge. At the Behavior level, participants successfully applied the skills learned in real field situations, while at the Outcome level, the training was shown to improve operational performance and safety. In conclusion, the training successfully met its objectives of enhancing participants' technical skills and professional attitudes, and contributed to improved organizational performance, especially in terms of safety and operational efficiency in the oil and gas industry.&quot;,&quot;issue&quot;:&quot;3&quot;,&quot;volume&quot;:&quot;11&quot;,&quot;container-title-short&quot;:&quot;&quot;},&quot;isTemporary&quot;:false},{&quot;id&quot;:&quot;cf4ba051-0413-3805-9ad2-7b7a7a25a783&quot;,&quot;itemData&quot;:{&quot;type&quot;:&quot;article-journal&quot;,&quot;id&quot;:&quot;cf4ba051-0413-3805-9ad2-7b7a7a25a783&quot;,&quot;title&quot;:&quot;Evaluating rural homestay accommodations in China using the hospitality index: An online review–based approach&quot;,&quot;author&quot;:[{&quot;family&quot;:&quot;Qiu&quot;,&quot;given&quot;:&quot;Wei Wei&quot;,&quot;parse-names&quot;:false,&quot;dropping-particle&quot;:&quot;&quot;,&quot;non-dropping-particle&quot;:&quot;&quot;},{&quot;family&quot;:&quot;Yu&quot;,&quot;given&quot;:&quot;Hai Tao&quot;,&quot;parse-names&quot;:false,&quot;dropping-particle&quot;:&quot;&quot;,&quot;non-dropping-particle&quot;:&quot;&quot;},{&quot;family&quot;:&quot;Lin&quot;,&quot;given&quot;:&quot;Pearl M.C.&quot;,&quot;parse-names&quot;:false,&quot;dropping-particle&quot;:&quot;&quot;,&quot;non-dropping-particle&quot;:&quot;&quot;},{&quot;family&quot;:&quot;Wilson AU&quot;,&quot;given&quot;:&quot;Wai Ching&quot;,&quot;parse-names&quot;:false,&quot;dropping-particle&quot;:&quot;&quot;,&quot;non-dropping-particle&quot;:&quot;&quot;}],&quot;container-title&quot;:&quot;International Journal of Hospitality Management&quot;,&quot;container-title-short&quot;:&quot;Int. J. Hosp. Manag.&quot;,&quot;DOI&quot;:&quot;10.1016/j.ijhm.2024.103792&quot;,&quot;ISSN&quot;:&quot;02784319&quot;,&quot;URL&quot;:&quot;https://doi.org/10.1016/j.ijhm.2024.103792&quot;,&quot;issued&quot;:{&quot;date-parts&quot;:[[2024]]},&quot;page&quot;:&quot;103792&quot;,&quot;abstract&quot;:&quot;Hospitality's central role in the tourism experience is well documented. However, traditional methods of hospitality measurement fail to capture tourists’ multi-dimensional experiences and the varying impacts of hospitality dimensions on individuals’ behavior. This study employed a big data–based mixed method approach, integrating grounded theory, natural language processing, and multiple linear regression. 68,421 online reviews of rural homestays were analyzed to investigate guests’ hospitality experiences. Findings showed that rural homestay hospitality comprises four dimensions: material objects, services, information, and emotions. The devised rural homestay hospitality index significantly influenced property ratings, with different hospitality dimensions having unique effects. The outcomes of this study hold implications for product creation, guest satisfaction, and the development of evaluation systems for rural homestays.&quot;,&quot;publisher&quot;:&quot;Elsevier Ltd&quot;,&quot;issue&quot;:&quot;May&quot;,&quot;volume&quot;:&quot;121&quot;},&quot;isTemporary&quot;:false}]},{&quot;citationID&quot;:&quot;MENDELEY_CITATION_61a47aad-9fe4-4a79-87a9-e90b88be8ceb&quot;,&quot;properties&quot;:{&quot;noteIndex&quot;:0},&quot;isEdited&quot;:false,&quot;manualOverride&quot;:{&quot;isManuallyOverridden&quot;:true,&quot;citeprocText&quot;:&quot;(Kiswantoro et al., 2024; Luekveerawattana, 2024a; Qiu et al., 2024)&quot;,&quot;manualOverrideText&quot;:&quot;(Kiswantoro et al., 2024; Luekveerawattana, 2024; Qiu et al., 2024)&quot;},&quot;citationTag&quot;:&quot;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&quot;,&quot;citationItems&quot;:[{&quot;id&quot;:&quot;cf4ba051-0413-3805-9ad2-7b7a7a25a783&quot;,&quot;itemData&quot;:{&quot;type&quot;:&quot;article-journal&quot;,&quot;id&quot;:&quot;cf4ba051-0413-3805-9ad2-7b7a7a25a783&quot;,&quot;title&quot;:&quot;Evaluating rural homestay accommodations in China using the hospitality index: An online review–based approach&quot;,&quot;author&quot;:[{&quot;family&quot;:&quot;Qiu&quot;,&quot;given&quot;:&quot;Wei Wei&quot;,&quot;parse-names&quot;:false,&quot;dropping-particle&quot;:&quot;&quot;,&quot;non-dropping-particle&quot;:&quot;&quot;},{&quot;family&quot;:&quot;Yu&quot;,&quot;given&quot;:&quot;Hai Tao&quot;,&quot;parse-names&quot;:false,&quot;dropping-particle&quot;:&quot;&quot;,&quot;non-dropping-particle&quot;:&quot;&quot;},{&quot;family&quot;:&quot;Lin&quot;,&quot;given&quot;:&quot;Pearl M.C.&quot;,&quot;parse-names&quot;:false,&quot;dropping-particle&quot;:&quot;&quot;,&quot;non-dropping-particle&quot;:&quot;&quot;},{&quot;family&quot;:&quot;Wilson AU&quot;,&quot;given&quot;:&quot;Wai Ching&quot;,&quot;parse-names&quot;:false,&quot;dropping-particle&quot;:&quot;&quot;,&quot;non-dropping-particle&quot;:&quot;&quot;}],&quot;container-title&quot;:&quot;International Journal of Hospitality Management&quot;,&quot;container-title-short&quot;:&quot;Int. J. Hosp. Manag.&quot;,&quot;DOI&quot;:&quot;10.1016/j.ijhm.2024.103792&quot;,&quot;ISSN&quot;:&quot;02784319&quot;,&quot;URL&quot;:&quot;https://doi.org/10.1016/j.ijhm.2024.103792&quot;,&quot;issued&quot;:{&quot;date-parts&quot;:[[2024]]},&quot;page&quot;:&quot;103792&quot;,&quot;abstract&quot;:&quot;Hospitality's central role in the tourism experience is well documented. However, traditional methods of hospitality measurement fail to capture tourists’ multi-dimensional experiences and the varying impacts of hospitality dimensions on individuals’ behavior. This study employed a big data–based mixed method approach, integrating grounded theory, natural language processing, and multiple linear regression. 68,421 online reviews of rural homestays were analyzed to investigate guests’ hospitality experiences. Findings showed that rural homestay hospitality comprises four dimensions: material objects, services, information, and emotions. The devised rural homestay hospitality index significantly influenced property ratings, with different hospitality dimensions having unique effects. The outcomes of this study hold implications for product creation, guest satisfaction, and the development of evaluation systems for rural homestays.&quot;,&quot;publisher&quot;:&quot;Elsevier Ltd&quot;,&quot;issue&quot;:&quot;May&quot;,&quot;volume&quot;:&quot;121&quot;},&quot;isTemporary&quot;:false},{&quot;id&quot;:&quot;6676c572-3df3-3d7e-ac23-5afea533c3e7&quot;,&quot;itemData&quot;:{&quot;type&quot;:&quot;article-journal&quot;,&quot;id&quot;:&quot;6676c572-3df3-3d7e-ac23-5afea533c3e7&quot;,&quot;title&quot;:&quot;A Review of Risk Management in Homestays&quot;,&quot;author&quot;:[{&quot;family&quot;:&quot;Kiswantoro&quot;,&quot;given&quot;:&quot;Amin&quot;,&quot;parse-names&quot;:false,&quot;dropping-particle&quot;:&quot;&quot;,&quot;non-dropping-particle&quot;:&quot;&quot;},{&quot;family&quot;:&quot;Sugiarto&quot;,&quot;given&quot;:&quot;Sugiarto&quot;,&quot;parse-names&quot;:false,&quot;dropping-particle&quot;:&quot;&quot;,&quot;non-dropping-particle&quot;:&quot;&quot;},{&quot;family&quot;:&quot;Bahri&quot;,&quot;given&quot;:&quot;Asep Syaiful&quot;,&quot;parse-names&quot;:false,&quot;dropping-particle&quot;:&quot;&quot;,&quot;non-dropping-particle&quot;:&quot;&quot;},{&quot;family&quot;:&quot;Hendratono&quot;,&quot;given&quot;:&quot;Tonny&quot;,&quot;parse-names&quot;:false,&quot;dropping-particle&quot;:&quot;&quot;,&quot;non-dropping-particle&quot;:&quot;&quot;},{&quot;family&quot;:&quot;Susanto&quot;,&quot;given&quot;:&quot;Dwiyono Rudi&quot;,&quot;parse-names&quot;:false,&quot;dropping-particle&quot;:&quot;&quot;,&quot;non-dropping-particle&quot;:&quot;&quot;},{&quot;family&quot;:&quot;Rohman&quot;,&quot;given&quot;:&quot;Nur&quot;,&quot;parse-names&quot;:false,&quot;dropping-particle&quot;:&quot;&quot;,&quot;non-dropping-particle&quot;:&quot;&quot;},{&quot;family&quot;:&quot;Irawati&quot;,&quot;given&quot;:&quot;Novi&quot;,&quot;parse-names&quot;:false,&quot;dropping-particle&quot;:&quot;&quot;,&quot;non-dropping-particle&quot;:&quot;&quot;}],&quot;container-title&quot;:&quot;Ganaya : Jurnal Ilmu Sosial dan Humaniora&quot;,&quot;DOI&quot;:&quot;10.37329/ganaya.v7i1.2786&quot;,&quot;issued&quot;:{&quot;date-parts&quot;:[[2024]]},&quot;page&quot;:&quot;73-88&quot;,&quot;abstract&quot;:&quot;Studies on risk management in the tourism sector have been conducted, but studies on risk management, particularly for homestays, are lacking. This paper presents a theoretical study that provides an overview of the relevant theories on risk management in homestays. The literature review section presents selected articles appropriate to the research topic for review using identification, screening, eligibility, analysis, and conclusion steps. Risk management in homestays is crucial to avoid risks arising from the homestay management process itself and to create tourist satisfaction and loyalty. Novelty of this research is presents a complete explanation with data in the field, unlike previous studies that only presented articles with brief descriptions without accurate field data. The relevant theories selected in this study are also explained explicitly according to their function in the study.The purpose of this article is to identify articles that are related to the topic of risk management in homestays by grouping them into references, methods, main results, and limitations tables. Then from the selected articles, we present them in the form of a novelty table to make it easier to find novelty. Then finally, we created a special table that provides an explanation related to the variables discussed in this study. The selected data was obtained through the Scopus and Google Scholar tools which were entered into a table in CSV format. Furthermore, the database is used as a basis for conducting theoretical studies and literature reviews. This study uses a qualitative descriptive analysis method. The results of the study show that most of the articles related to the topic of risk management in homestays only present brief reviews and brief descriptions without providing explanations and understanding with accurate data research in the field. Many articles were also found that did not use basic theories that had a relationship between one variable and another.&quot;,&quot;issue&quot;:&quot;1&quot;,&quot;volume&quot;:&quot;7&quot;,&quot;container-title-short&quot;:&quot;&quot;},&quot;isTemporary&quot;:false},{&quot;id&quot;:&quot;45140b55-dbb4-38a9-99c2-e1e79f3188b4&quot;,&quot;itemData&quot;:{&quot;type&quot;:&quot;article-journal&quot;,&quot;id&quot;:&quot;45140b55-dbb4-38a9-99c2-e1e79f3188b4&quot;,&quot;title&quot;:&quot;Key factors facilitating homestay success : a focus on cultural and natural values&quot;,&quot;author&quot;:[{&quot;family&quot;:&quot;Luekveerawattana&quot;,&quot;given&quot;:&quot;Rumpapak&quot;,&quot;parse-names&quot;:false,&quot;dropping-particle&quot;:&quot;&quot;,&quot;non-dropping-particle&quot;:&quot;&quot;}],&quot;container-title&quot;:&quot;Cogent Social Sciences&quot;,&quot;container-title-short&quot;:&quot;Cogent Soc. Sci.&quot;,&quot;DOI&quot;:&quot;10.1080/23311886.2024.2341479&quot;,&quot;URL&quot;:&quot;https://doi.org/10.1080/23311886.2024.2341479&quot;,&quot;issued&quot;:{&quot;date-parts&quot;:[[2024]]},&quot;page&quot;:&quot;-&quot;,&quot;publisher&quot;:&quot;Cogent&quot;,&quot;issue&quot;:&quot;1&quot;,&quot;volume&quot;:&quot;10&quot;},&quot;isTemporary&quot;:false}]},{&quot;citationID&quot;:&quot;MENDELEY_CITATION_1306ae64-4a5a-49c7-a051-8d62b90defb4&quot;,&quot;properties&quot;:{&quot;noteIndex&quot;:0},&quot;isEdited&quot;:false,&quot;manualOverride&quot;:{&quot;isManuallyOverridden&quot;:true,&quot;citeprocText&quot;:&quot;(Kiswantoro et al., 2024; Qiu et al., 2024)&quot;,&quot;manualOverrideText&quot;:&quot;(Kiswantoro et al., 2024; Qiu et al., 2024&quot;},&quot;citationTag&quot;:&quot;MENDELEY_CITATION_v3_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&quot;,&quot;citationItems&quot;:[{&quot;id&quot;:&quot;cf4ba051-0413-3805-9ad2-7b7a7a25a783&quot;,&quot;itemData&quot;:{&quot;type&quot;:&quot;article-journal&quot;,&quot;id&quot;:&quot;cf4ba051-0413-3805-9ad2-7b7a7a25a783&quot;,&quot;title&quot;:&quot;Evaluating rural homestay accommodations in China using the hospitality index: An online review–based approach&quot;,&quot;author&quot;:[{&quot;family&quot;:&quot;Qiu&quot;,&quot;given&quot;:&quot;Wei Wei&quot;,&quot;parse-names&quot;:false,&quot;dropping-particle&quot;:&quot;&quot;,&quot;non-dropping-particle&quot;:&quot;&quot;},{&quot;family&quot;:&quot;Yu&quot;,&quot;given&quot;:&quot;Hai Tao&quot;,&quot;parse-names&quot;:false,&quot;dropping-particle&quot;:&quot;&quot;,&quot;non-dropping-particle&quot;:&quot;&quot;},{&quot;family&quot;:&quot;Lin&quot;,&quot;given&quot;:&quot;Pearl M.C.&quot;,&quot;parse-names&quot;:false,&quot;dropping-particle&quot;:&quot;&quot;,&quot;non-dropping-particle&quot;:&quot;&quot;},{&quot;family&quot;:&quot;Wilson AU&quot;,&quot;given&quot;:&quot;Wai Ching&quot;,&quot;parse-names&quot;:false,&quot;dropping-particle&quot;:&quot;&quot;,&quot;non-dropping-particle&quot;:&quot;&quot;}],&quot;container-title&quot;:&quot;International Journal of Hospitality Management&quot;,&quot;container-title-short&quot;:&quot;Int. J. Hosp. Manag.&quot;,&quot;DOI&quot;:&quot;10.1016/j.ijhm.2024.103792&quot;,&quot;ISSN&quot;:&quot;02784319&quot;,&quot;URL&quot;:&quot;https://doi.org/10.1016/j.ijhm.2024.103792&quot;,&quot;issued&quot;:{&quot;date-parts&quot;:[[2024]]},&quot;page&quot;:&quot;103792&quot;,&quot;abstract&quot;:&quot;Hospitality's central role in the tourism experience is well documented. However, traditional methods of hospitality measurement fail to capture tourists’ multi-dimensional experiences and the varying impacts of hospitality dimensions on individuals’ behavior. This study employed a big data–based mixed method approach, integrating grounded theory, natural language processing, and multiple linear regression. 68,421 online reviews of rural homestays were analyzed to investigate guests’ hospitality experiences. Findings showed that rural homestay hospitality comprises four dimensions: material objects, services, information, and emotions. The devised rural homestay hospitality index significantly influenced property ratings, with different hospitality dimensions having unique effects. The outcomes of this study hold implications for product creation, guest satisfaction, and the development of evaluation systems for rural homestays.&quot;,&quot;publisher&quot;:&quot;Elsevier Ltd&quot;,&quot;issue&quot;:&quot;May&quot;,&quot;volume&quot;:&quot;121&quot;},&quot;isTemporary&quot;:false},{&quot;id&quot;:&quot;6676c572-3df3-3d7e-ac23-5afea533c3e7&quot;,&quot;itemData&quot;:{&quot;type&quot;:&quot;article-journal&quot;,&quot;id&quot;:&quot;6676c572-3df3-3d7e-ac23-5afea533c3e7&quot;,&quot;title&quot;:&quot;A Review of Risk Management in Homestays&quot;,&quot;author&quot;:[{&quot;family&quot;:&quot;Kiswantoro&quot;,&quot;given&quot;:&quot;Amin&quot;,&quot;parse-names&quot;:false,&quot;dropping-particle&quot;:&quot;&quot;,&quot;non-dropping-particle&quot;:&quot;&quot;},{&quot;family&quot;:&quot;Sugiarto&quot;,&quot;given&quot;:&quot;Sugiarto&quot;,&quot;parse-names&quot;:false,&quot;dropping-particle&quot;:&quot;&quot;,&quot;non-dropping-particle&quot;:&quot;&quot;},{&quot;family&quot;:&quot;Bahri&quot;,&quot;given&quot;:&quot;Asep Syaiful&quot;,&quot;parse-names&quot;:false,&quot;dropping-particle&quot;:&quot;&quot;,&quot;non-dropping-particle&quot;:&quot;&quot;},{&quot;family&quot;:&quot;Hendratono&quot;,&quot;given&quot;:&quot;Tonny&quot;,&quot;parse-names&quot;:false,&quot;dropping-particle&quot;:&quot;&quot;,&quot;non-dropping-particle&quot;:&quot;&quot;},{&quot;family&quot;:&quot;Susanto&quot;,&quot;given&quot;:&quot;Dwiyono Rudi&quot;,&quot;parse-names&quot;:false,&quot;dropping-particle&quot;:&quot;&quot;,&quot;non-dropping-particle&quot;:&quot;&quot;},{&quot;family&quot;:&quot;Rohman&quot;,&quot;given&quot;:&quot;Nur&quot;,&quot;parse-names&quot;:false,&quot;dropping-particle&quot;:&quot;&quot;,&quot;non-dropping-particle&quot;:&quot;&quot;},{&quot;family&quot;:&quot;Irawati&quot;,&quot;given&quot;:&quot;Novi&quot;,&quot;parse-names&quot;:false,&quot;dropping-particle&quot;:&quot;&quot;,&quot;non-dropping-particle&quot;:&quot;&quot;}],&quot;container-title&quot;:&quot;Ganaya : Jurnal Ilmu Sosial dan Humaniora&quot;,&quot;DOI&quot;:&quot;10.37329/ganaya.v7i1.2786&quot;,&quot;issued&quot;:{&quot;date-parts&quot;:[[2024]]},&quot;page&quot;:&quot;73-88&quot;,&quot;abstract&quot;:&quot;Studies on risk management in the tourism sector have been conducted, but studies on risk management, particularly for homestays, are lacking. This paper presents a theoretical study that provides an overview of the relevant theories on risk management in homestays. The literature review section presents selected articles appropriate to the research topic for review using identification, screening, eligibility, analysis, and conclusion steps. Risk management in homestays is crucial to avoid risks arising from the homestay management process itself and to create tourist satisfaction and loyalty. Novelty of this research is presents a complete explanation with data in the field, unlike previous studies that only presented articles with brief descriptions without accurate field data. The relevant theories selected in this study are also explained explicitly according to their function in the study.The purpose of this article is to identify articles that are related to the topic of risk management in homestays by grouping them into references, methods, main results, and limitations tables. Then from the selected articles, we present them in the form of a novelty table to make it easier to find novelty. Then finally, we created a special table that provides an explanation related to the variables discussed in this study. The selected data was obtained through the Scopus and Google Scholar tools which were entered into a table in CSV format. Furthermore, the database is used as a basis for conducting theoretical studies and literature reviews. This study uses a qualitative descriptive analysis method. The results of the study show that most of the articles related to the topic of risk management in homestays only present brief reviews and brief descriptions without providing explanations and understanding with accurate data research in the field. Many articles were also found that did not use basic theories that had a relationship between one variable and another.&quot;,&quot;issue&quot;:&quot;1&quot;,&quot;volume&quot;:&quot;7&quot;,&quot;container-title-short&quot;:&quot;&quot;},&quot;isTemporary&quot;:false}]},{&quot;citationID&quot;:&quot;MENDELEY_CITATION_1ffe77ab-d231-4ffe-a27d-b8856a1838c6&quot;,&quot;properties&quot;:{&quot;noteIndex&quot;:0},&quot;isEdited&quot;:false,&quot;manualOverride&quot;:{&quot;isManuallyOverridden&quot;:false,&quot;citeprocText&quot;:&quot;(Eade, 1997; Eade &amp;#38; Ireland, 1997; Moscardo, 2008)&quot;,&quot;manualOverrideText&quot;:&quot;&quot;},&quot;citationTag&quot;:&quot;MENDELEY_CITATION_v3_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&quot;,&quot;citationItems&quot;:[{&quot;id&quot;:&quot;8f67c26e-0221-3bc0-9592-f9c3004c4c35&quot;,&quot;itemData&quot;:{&quot;type&quot;:&quot;book&quot;,&quot;id&quot;:&quot;8f67c26e-0221-3bc0-9592-f9c3004c4c35&quot;,&quot;title&quot;:&quot;Capacity-Building: An Approach to People-Centered Development&quot;,&quot;author&quot;:[{&quot;family&quot;:&quot;Eade&quot;,&quot;given&quot;:&quot;D&quot;,&quot;parse-names&quot;:false,&quot;dropping-particle&quot;:&quot;&quot;,&quot;non-dropping-particle&quot;:&quot;&quot;}],&quot;DOI&quot;:&quot;10.3362/9780855986732&quot;,&quot;issued&quot;:{&quot;date-parts&quot;:[[1997]]},&quot;publisher&quot;:&quot;Oxfam (UK and Ireland)&quot;,&quot;container-title-short&quot;:&quot;&quot;},&quot;isTemporary&quot;:false},{&quot;id&quot;:&quot;cff8f273-8ba0-3dbf-91a0-d89df844ce67&quot;,&quot;itemData&quot;:{&quot;type&quot;:&quot;book&quot;,&quot;id&quot;:&quot;cff8f273-8ba0-3dbf-91a0-d89df844ce67&quot;,&quot;title&quot;:&quot;Capacity-building: An Approach to People-centred Development&quot;,&quot;author&quot;:[{&quot;family&quot;:&quot;Eade&quot;,&quot;given&quot;:&quot;D&quot;,&quot;parse-names&quot;:false,&quot;dropping-particle&quot;:&quot;&quot;,&quot;non-dropping-particle&quot;:&quot;&quot;},{&quot;family&quot;:&quot;Ireland&quot;,&quot;given&quot;:&quot;O U K&quot;,&quot;parse-names&quot;:false,&quot;dropping-particle&quot;:&quot;&quot;,&quot;non-dropping-particle&quot;:&quot;&quot;}],&quot;collection-title&quot;:&quot;Development guidelines&quot;,&quot;ISBN&quot;:&quot;9780855983666&quot;,&quot;URL&quot;:&quot;https://books.google.co.id/books?id=tnSTMrh2ga0C&quot;,&quot;issued&quot;:{&quot;date-parts&quot;:[[1997]]},&quot;publisher&quot;:&quot;Oxfam (UK and Ireland)&quot;,&quot;container-title-short&quot;:&quot;&quot;},&quot;isTemporary&quot;:false},{&quot;id&quot;:&quot;5adfb32f-9f43-3b4b-9ca3-d2515a798ee0&quot;,&quot;itemData&quot;:{&quot;type&quot;:&quot;book&quot;,&quot;id&quot;:&quot;5adfb32f-9f43-3b4b-9ca3-d2515a798ee0&quot;,&quot;title&quot;:&quot;Building Community Capacity for Tourism Development&quot;,&quot;author&quot;:[{&quot;family&quot;:&quot;Moscardo&quot;,&quot;given&quot;:&quot;G&quot;,&quot;parse-names&quot;:false,&quot;dropping-particle&quot;:&quot;&quot;,&quot;non-dropping-particle&quot;:&quot;&quot;}],&quot;DOI&quot;:&quot;10.1079/9781845934477.0000&quot;,&quot;issued&quot;:{&quot;date-parts&quot;:[[2008]]},&quot;publisher&quot;:&quot;CABI Publishing&quot;,&quot;container-title-short&quot;:&quot;&quot;},&quot;isTemporary&quot;:false}]},{&quot;citationID&quot;:&quot;MENDELEY_CITATION_55493788-cc4a-4085-9c15-517023ca08a2&quot;,&quot;properties&quot;:{&quot;noteIndex&quot;:0},&quot;isEdited&quot;:false,&quot;manualOverride&quot;:{&quot;isManuallyOverridden&quot;:false,&quot;citeprocText&quot;:&quot;(Wikström et al., 2023)&quot;,&quot;manualOverrideText&quot;:&quot;&quot;},&quot;citationTag&quot;:&quot;MENDELEY_CITATION_v3_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&quot;,&quot;citationItems&quot;:[{&quot;id&quot;:&quot;775d6505-e96d-3cb6-b826-eba14ffcc745&quot;,&quot;itemData&quot;:{&quot;type&quot;:&quot;article-journal&quot;,&quot;id&quot;:&quot;775d6505-e96d-3cb6-b826-eba14ffcc745&quot;,&quot;title&quot;:&quot;Mentoring programmes – building capacity for learning and retaining workers in the workplace&quot;,&quot;author&quot;:[{&quot;family&quot;:&quot;Wikström&quot;,&quot;given&quot;:&quot;Ewa&quot;,&quot;parse-names&quot;:false,&quot;dropping-particle&quot;:&quot;&quot;,&quot;non-dropping-particle&quot;:&quot;&quot;},{&quot;family&quot;:&quot;Arman&quot;,&quot;given&quot;:&quot;Rebecka&quot;,&quot;parse-names&quot;:false,&quot;dropping-particle&quot;:&quot;&quot;,&quot;non-dropping-particle&quot;:&quot;&quot;},{&quot;family&quot;:&quot;Dellve&quot;,&quot;given&quot;:&quot;Lotta&quot;,&quot;parse-names&quot;:false,&quot;dropping-particle&quot;:&quot;&quot;,&quot;non-dropping-particle&quot;:&quot;&quot;},{&quot;family&quot;:&quot;Gillberg&quot;,&quot;given&quot;:&quot;Nanna&quot;,&quot;parse-names&quot;:false,&quot;dropping-particle&quot;:&quot;&quot;,&quot;non-dropping-particle&quot;:&quot;&quot;}],&quot;container-title&quot;:&quot;Journal of Workplace Learning&quot;,&quot;DOI&quot;:&quot;10.1108/JWL-01-2023-0003&quot;,&quot;ISBN&quot;:&quot;0120230003&quot;,&quot;ISSN&quot;:&quot;13665626&quot;,&quot;issued&quot;:{&quot;date-parts&quot;:[[2023]]},&quot;page&quot;:&quot;732-751&quot;,&quot;abstract&quot;:&quot;Purpose: The purpose of the paper is to contribute to an understanding of the relational work carried out in mentoring programmes and the implications for learning capabilities in future practices. Design/methodology/approach: This study is based on field research of a mentoring programme bringing together senior and newly graduated workers in a large Swedish health care organisation. In total, 54 qualitative interviews with mentors, mentees, HR, managers and union representatives are included. Findings: The findings point to the role of trust and a psychological sense of community in the socialisation work that goes on in relationships between the mentor and the mentee. This in turn leads to increased social capital in the form of learning and retaining workers. The conditions for being vulnerable and asking questions, as well as daring to be independent, are an essential and decisive part of constructing bonding within the professional group and bridging out to other professions and parts of the organisation. Practical implications: The practical contribution from this study is the workplace conditions that are central to organising mentoring programmes, with implications for learning capabilities in future practices. Originality/value: With its theoretical focus on social capital, the study shows the importance of relationships for learning and retaining both newly graduated and experienced employees in a context of high employee turnover. It is central to achieving strong and mutually beneficial relationships through continual and trustful interaction between actors. By using the concepts of social capital, socialisation agents and psychological sense of community, this study contributes to an understanding of mentoring and workplace learning.&quot;,&quot;issue&quot;:&quot;8&quot;,&quot;volume&quot;:&quot;35&quot;,&quot;container-title-short&quot;:&quot;&quot;},&quot;isTemporary&quot;:false}]},{&quot;citationID&quot;:&quot;MENDELEY_CITATION_9259026e-309d-45eb-8dfa-3c9879d7b481&quot;,&quot;properties&quot;:{&quot;noteIndex&quot;:0},&quot;isEdited&quot;:false,&quot;manualOverride&quot;:{&quot;isManuallyOverridden&quot;:true,&quot;citeprocText&quot;:&quot;(Fàbregues et al., 2025; Hongling et al., 2025; Ross et al., 2022)&quot;,&quot;manualOverrideText&quot;:&quot;&quot;},&quot;citationTag&quot;:&quot;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&quot;,&quot;citationItems&quot;:[{&quot;id&quot;:&quot;9a3f77f6-6243-3729-979c-068da0b30c88&quot;,&quot;itemData&quot;:{&quot;type&quot;:&quot;article-journal&quot;,&quot;id&quot;:&quot;9a3f77f6-6243-3729-979c-068da0b30c88&quot;,&quot;title&quot;:&quot;Evaluating results of the implementation research MOOC using Kirkpatrick's four-level model: a cross-sectional mixed-methods study&quot;,&quot;author&quot;:[{&quot;family&quot;:&quot;Ross&quot;,&quot;given&quot;:&quot;Bella&quot;,&quot;parse-names&quot;:false,&quot;dropping-particle&quot;:&quot;&quot;,&quot;non-dropping-particle&quot;:&quot;&quot;},{&quot;family&quot;:&quot;Penkunas&quot;,&quot;given&quot;:&quot;Michael J.&quot;,&quot;parse-names&quot;:false,&quot;dropping-particle&quot;:&quot;&quot;,&quot;non-dropping-particle&quot;:&quot;&quot;},{&quot;family&quot;:&quot;Maher&quot;,&quot;given&quot;:&quot;Dermot&quot;,&quot;parse-names&quot;:false,&quot;dropping-particle&quot;:&quot;&quot;,&quot;non-dropping-particle&quot;:&quot;&quot;},{&quot;family&quot;:&quot;Certain&quot;,&quot;given&quot;:&quot;Edith&quot;,&quot;parse-names&quot;:false,&quot;dropping-particle&quot;:&quot;&quot;,&quot;non-dropping-particle&quot;:&quot;&quot;},{&quot;family&quot;:&quot;Launois&quot;,&quot;given&quot;:&quot;Pascal&quot;,&quot;parse-names&quot;:false,&quot;dropping-particle&quot;:&quot;&quot;,&quot;non-dropping-particle&quot;:&quot;&quot;}],&quot;container-title&quot;:&quot;BMJ Open&quot;,&quot;container-title-short&quot;:&quot;BMJ Open&quot;,&quot;DOI&quot;:&quot;10.1136/bmjopen-2021-054719&quot;,&quot;ISSN&quot;:&quot;20446055&quot;,&quot;PMID&quot;:&quot;35504633&quot;,&quot;issued&quot;:{&quot;date-parts&quot;:[[2022]]},&quot;page&quot;:&quot;1-8&quot;,&quot;abstract&quot;:&quot;Introduction An implementation research (IR) massive open online course (MOOC) was developed by the Special Programme for Research and Training in Tropical Diseases, to address the scarcity of training in low-income and middle-income countries in the field of IR. The Kirkpatrick model was used to evaluate the IR MOOC as it is widely applied for evaluation of training and educational programmes. The Kirkpatrick model evaluates training programmes on four levels: reaction, learning, behaviour and results. This paper addresses the impact of the IR MOOC on participants' professional practice. Methods Findings are based on analysis of survey and interview data collected 1.5-2 years after the conclusion of the two 2018 IR MOOC offerings. Of the 3858 MOC participants, 748 responded to the anonymous online survey and seven of these respondents were interviewed. All data are self-reported. Results The IR MOOC was successful in enhancing the professional practice of participants and for their organisations. Over 40% reported modifying or implementing changes in their professional work. Respondents reported that participation in the MOOC had improved their ability to conduct IR, enhanced their professional profiles and increased their opportunities for collaboration, research and job promotion. Respondents stated that the MOOC had improved their work quality and productivity, and allowed them to contribute to research, initiate and develop professional collaborations and train others in IR. Respondents reported an increase in applying for grants and scholarships and presenting and publishing work on IR after participating in the MOOC. Barriers applying the knowledge gained from the IR MOOC were experienced, for example, due to a lack of funding and lack of support from colleagues, managers and organisations. Conclusion Participants perceived that the IR MOOC was successful in its aims of delivering medium-term and long-term results in relation to their own and their organisations' professional outcomes.&quot;,&quot;issue&quot;:&quot;5&quot;,&quot;volume&quot;:&quot;12&quot;},&quot;isTemporary&quot;:false},{&quot;id&quot;:&quot;53b2f6c1-1a5d-300e-895a-ee97bbd35654&quot;,&quot;itemData&quot;:{&quot;type&quot;:&quot;article-journal&quot;,&quot;id&quot;:&quot;53b2f6c1-1a5d-300e-895a-ee97bbd35654&quot;,&quot;title&quot;:&quot;Mixed Methods Studies Using Secondary Analysis in Nursing and Midwifery: A Methodological Review&quot;,&quot;author&quot;:[{&quot;family&quot;:&quot;Fàbregues&quot;,&quot;given&quot;:&quot;Sergi&quot;,&quot;parse-names&quot;:false,&quot;dropping-particle&quot;:&quot;&quot;,&quot;non-dropping-particle&quot;:&quot;&quot;},{&quot;family&quot;:&quot;Younas&quot;,&quot;given&quot;:&quot;Ahtisham&quot;,&quot;parse-names&quot;:false,&quot;dropping-particle&quot;:&quot;&quot;,&quot;non-dropping-particle&quot;:&quot;&quot;},{&quot;family&quot;:&quot;Inayat&quot;,&quot;given&quot;:&quot;Shahzad&quot;,&quot;parse-names&quot;:false,&quot;dropping-particle&quot;:&quot;&quot;,&quot;non-dropping-particle&quot;:&quot;&quot;},{&quot;family&quot;:&quot;Escalante-Barrios&quot;,&quot;given&quot;:&quot;Elsa Lucia&quot;,&quot;parse-names&quot;:false,&quot;dropping-particle&quot;:&quot;&quot;,&quot;non-dropping-particle&quot;:&quot;&quot;},{&quot;family&quot;:&quot;Durante&quot;,&quot;given&quot;:&quot;Angela&quot;,&quot;parse-names&quot;:false,&quot;dropping-particle&quot;:&quot;&quot;,&quot;non-dropping-particle&quot;:&quot;&quot;}],&quot;container-title&quot;:&quot;Journal of Advanced Nursing&quot;,&quot;container-title-short&quot;:&quot;J. Adv. Nurs.&quot;,&quot;DOI&quot;:&quot;10.1111/jan.16557&quot;,&quot;ISSN&quot;:&quot;13652648&quot;,&quot;PMID&quot;:&quot;39558585&quot;,&quot;issued&quot;:{&quot;date-parts&quot;:[[2025]]},&quot;page&quot;:&quot;2316-2332&quot;,&quot;abstract&quot;:&quot;Aim: To identify mixed methods studies in nursing and midwifery using secondary analysis and to examine their methodological characteristics. Design: Methodological review. Methods: A systematic search was conducted to identify empirical mixed methods studies in nursing and midwifery that used secondary analysis. A data extraction sheet was developed based on previous methodological reviews of secondary analysis and mixed methods. Data Sources: SCOPUS, Web of Science and CINAHL were searched from inception to March 10, 2023. Supplementary searches were conducted in two methodological journals and six nursing journals. Results: A total of 26 mixed methods studies published between 2000 and 2022 were included in the review. Of these, only 13 studies explicitly mentioned the type of mixed methods design used. Twenty studies showed evidence of integration of the quantitative and qualitative components. Most of these studies integrated the components at the interpretation stage, whereas fewer integrated the components during data collection. None of the studies mentioned the rationale for using secondary analysis in the context of a mixed methods study. Conclusion: The included studies demonstrated fairly good reporting of mixed methods features, although they generally lacked a rationale for the use of secondary data. Implications for the profession and/or patient care: Adequate reporting of mixed methods studies using secondary analysis is essential in order to allow readers to assess whether secondary analysis was appropriately incorporated into a mixed methods study and whether the potential of secondary analysis was fully exploited. Impact: This review provides a set of recommendations to transparently report information regarding the research process and results obtained in mixed methods studies using secondary analysis. Reporting Method: Items relevant to methodological reviews included in the PRISMA Extension for Scoping Reviews (PRISMA-ScR) were considered for reporting the review.&quot;,&quot;issue&quot;:&quot;5&quot;,&quot;volume&quot;:&quot;81&quot;},&quot;isTemporary&quot;:false},{&quot;id&quot;:&quot;c55f1fe7-2ef7-3a41-8b81-14ede38d4448&quot;,&quot;itemData&quot;:{&quot;type&quot;:&quot;article-journal&quot;,&quot;id&quot;:&quot;c55f1fe7-2ef7-3a41-8b81-14ede38d4448&quot;,&quot;title&quot;:&quot;Mixed methods research in general practice: Key points of design and implementation and case analysis&quot;,&quot;author&quot;:[{&quot;family&quot;:&quot;Hongling&quot;,&quot;given&quot;:&quot;Chu&quot;,&quot;parse-names&quot;:false,&quot;dropping-particle&quot;:&quot;&quot;,&quot;non-dropping-particle&quot;:&quot;&quot;},{&quot;family&quot;:&quot;Yishu&quot;,&quot;given&quot;:&quot;Liu&quot;,&quot;parse-names&quot;:false,&quot;dropping-particle&quot;:&quot;&quot;,&quot;non-dropping-particle&quot;:&quot;&quot;},{&quot;family&quot;:&quot;Yang&quot;,&quot;given&quot;:&quot;Wang&quot;,&quot;parse-names&quot;:false,&quot;dropping-particle&quot;:&quot;&quot;,&quot;non-dropping-particle&quot;:&quot;&quot;},{&quot;family&quot;:&quot;Maoyi&quot;,&quot;given&quot;:&quot;Tian&quot;,&quot;parse-names&quot;:false,&quot;dropping-particle&quot;:&quot;&quot;,&quot;non-dropping-particle&quot;:&quot;&quot;},{&quot;family&quot;:&quot;Zhenhua&quot;,&quot;given&quot;:&quot;Yang&quot;,&quot;parse-names&quot;:false,&quot;dropping-particle&quot;:&quot;&quot;,&quot;non-dropping-particle&quot;:&quot;&quot;},{&quot;family&quot;:&quot;Lin&quot;,&quot;given&quot;:&quot;Zeng&quot;,&quot;parse-names&quot;:false,&quot;dropping-particle&quot;:&quot;&quot;,&quot;non-dropping-particle&quot;:&quot;&quot;},{&quot;family&quot;:&quot;Nan&quot;,&quot;given&quot;:&quot;Li&quot;,&quot;parse-names&quot;:false,&quot;dropping-particle&quot;:&quot;&quot;,&quot;non-dropping-particle&quot;:&quot;&quot;},{&quot;family&quot;:&quot;Yangfeng&quot;,&quot;given&quot;:&quot;Wu&quot;,&quot;parse-names&quot;:false,&quot;dropping-particle&quot;:&quot;&quot;,&quot;non-dropping-particle&quot;:&quot;&quot;},{&quot;family&quot;:&quot;Yiming&quot;,&quot;given&quot;:&quot;Zhao&quot;,&quot;parse-names&quot;:false,&quot;dropping-particle&quot;:&quot;&quot;,&quot;non-dropping-particle&quot;:&quot;&quot;},{&quot;family&quot;:&quot;Chunhua&quot;,&quot;given&quot;:&quot;Chi&quot;,&quot;parse-names&quot;:false,&quot;dropping-particle&quot;:&quot;&quot;,&quot;non-dropping-particle&quot;:&quot;&quot;},{&quot;family&quot;:&quot;Yahong&quot;,&quot;given&quot;:&quot;Chen&quot;,&quot;parse-names&quot;:false,&quot;dropping-particle&quot;:&quot;&quot;,&quot;non-dropping-particle&quot;:&quot;&quot;},{&quot;family&quot;:&quot;Siyan&quot;,&quot;given&quot;:&quot;Zhan&quot;,&quot;parse-names&quot;:false,&quot;dropping-particle&quot;:&quot;&quot;,&quot;non-dropping-particle&quot;:&quot;&quot;}],&quot;container-title&quot;:&quot;Chinese General Practice Journal&quot;,&quot;DOI&quot;:&quot;10.1016/j.cgpj.2025.100070&quot;,&quot;ISSN&quot;:&quot;29505593&quot;,&quot;URL&quot;:&quot;https://doi.org/10.1016/j.cgpj.2025.100070&quot;,&quot;issued&quot;:{&quot;date-parts&quot;:[[2025]]},&quot;page&quot;:&quot;100070&quot;,&quot;abstract&quot;:&quot;General practice research focuses on a range of topics, such as patients' physical health and mental health, physicians' competencies and career motivation, quality of healthcare and physician-patient relationships and cooperation. However, these are not resolved well only using quantitative research which is still dominated in the field of general practice of China. In this case, qualitative method is often required, although it is considered to be subjective, and is mainly used to describe a phenomenon that is little known in a small sample. Mixed methods research, which incorporates qualitative and quantitative research and combines the advantages of both, can analyze specific problems more extensively and intensively, is suitable for studying complex problems, and for general practice research as an approach integrating clinical medicine and sociology. However, mixed methods research in general practice is still in its early phase in China, and the standardization of its design and implementation needs to be improved. For better elaborating the key points in the design and implementation of mixed methods research, we detailed a study using mixed methods, providing a reference for general practitioners to carry out mixed methods research.&quot;,&quot;publisher&quot;:&quot;Elsevier B.V.&quot;,&quot;issue&quot;:&quot;3&quot;,&quot;volume&quot;:&quot;2&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D+G1Nfc/ynFsUKPWUUwTaUz5nA==">CgMxLjAyCWguMWZvYjl0ZTIJaC4zem55c2g3MgloLjJldDkycDAyCGgudHlqY3d0OAByITFxS2hGS203blNkUV9ZZ01wM0VJa2o0MHhpQlp4Mkc0QQ==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03F7F2E-68EE-4597-9623-792F9F7A7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6301</Words>
  <Characters>35919</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3</cp:revision>
  <cp:lastPrinted>2026-03-31T16:43:00Z</cp:lastPrinted>
  <dcterms:created xsi:type="dcterms:W3CDTF">2026-06-18T21:55:00Z</dcterms:created>
  <dcterms:modified xsi:type="dcterms:W3CDTF">2026-06-18T22:22:00Z</dcterms:modified>
</cp:coreProperties>
</file>